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5C1" w:rsidRDefault="00232AE8">
      <w:pPr>
        <w:jc w:val="right"/>
        <w:rPr>
          <w:rFonts w:ascii="黑体" w:eastAsia="黑体" w:hAnsi="黑体"/>
          <w:b/>
          <w:color w:val="000000" w:themeColor="text1"/>
          <w:sz w:val="20"/>
          <w:szCs w:val="20"/>
        </w:rPr>
      </w:pPr>
      <w:bookmarkStart w:id="0" w:name="_GoBack"/>
      <w:bookmarkEnd w:id="0"/>
      <w:r>
        <w:rPr>
          <w:rFonts w:ascii="黑体" w:eastAsia="黑体" w:hAnsi="黑体"/>
          <w:b/>
          <w:noProof/>
          <w:color w:val="000000" w:themeColor="text1"/>
          <w:sz w:val="20"/>
          <w:szCs w:val="20"/>
        </w:rPr>
        <w:drawing>
          <wp:inline distT="0" distB="0" distL="114300" distR="114300">
            <wp:extent cx="1473835" cy="1473835"/>
            <wp:effectExtent l="0" t="0" r="12065" b="12065"/>
            <wp:docPr id="5" name="图片 5" descr="bdw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dwx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5C1" w:rsidRDefault="00232AE8">
      <w:pPr>
        <w:jc w:val="right"/>
        <w:rPr>
          <w:rFonts w:ascii="黑体" w:eastAsia="黑体" w:hAnsi="黑体"/>
          <w:b/>
          <w:color w:val="000000" w:themeColor="text1"/>
          <w:szCs w:val="21"/>
        </w:rPr>
      </w:pPr>
      <w:r>
        <w:rPr>
          <w:rFonts w:ascii="黑体" w:eastAsia="黑体" w:hAnsi="黑体" w:hint="eastAsia"/>
          <w:b/>
          <w:color w:val="000000" w:themeColor="text1"/>
          <w:sz w:val="20"/>
          <w:szCs w:val="20"/>
        </w:rPr>
        <w:t>北大研修班二维码</w:t>
      </w:r>
    </w:p>
    <w:p w:rsidR="002165C1" w:rsidRDefault="00232AE8">
      <w:pPr>
        <w:spacing w:line="520" w:lineRule="exact"/>
        <w:jc w:val="center"/>
        <w:rPr>
          <w:rFonts w:ascii="黑体" w:eastAsia="黑体" w:hAnsi="黑体"/>
          <w:b/>
          <w:color w:val="000000" w:themeColor="text1"/>
          <w:sz w:val="52"/>
          <w:szCs w:val="52"/>
        </w:rPr>
      </w:pPr>
      <w:r>
        <w:rPr>
          <w:rFonts w:ascii="黑体" w:eastAsia="黑体" w:hAnsi="黑体" w:hint="eastAsia"/>
          <w:b/>
          <w:color w:val="000000" w:themeColor="text1"/>
          <w:sz w:val="52"/>
          <w:szCs w:val="52"/>
        </w:rPr>
        <w:t xml:space="preserve">金融战略与商业模式CEO研修班   </w:t>
      </w:r>
    </w:p>
    <w:p w:rsidR="002165C1" w:rsidRDefault="00232AE8">
      <w:pPr>
        <w:spacing w:line="520" w:lineRule="exact"/>
        <w:jc w:val="center"/>
        <w:rPr>
          <w:rFonts w:ascii="黑体" w:eastAsia="黑体" w:hAnsi="黑体"/>
          <w:b/>
          <w:color w:val="000000" w:themeColor="text1"/>
          <w:sz w:val="52"/>
          <w:szCs w:val="52"/>
        </w:rPr>
      </w:pPr>
      <w:r>
        <w:rPr>
          <w:rFonts w:ascii="黑体" w:eastAsia="黑体" w:hAnsi="黑体"/>
          <w:b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96128" behindDoc="0" locked="1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215900</wp:posOffset>
            </wp:positionV>
            <wp:extent cx="5800725" cy="3133725"/>
            <wp:effectExtent l="19050" t="0" r="9525" b="0"/>
            <wp:wrapNone/>
            <wp:docPr id="1" name="图片 0" descr="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图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5C1" w:rsidRDefault="002165C1"/>
    <w:p w:rsidR="002165C1" w:rsidRDefault="002165C1"/>
    <w:p w:rsidR="002165C1" w:rsidRDefault="002165C1"/>
    <w:p w:rsidR="002165C1" w:rsidRDefault="002165C1"/>
    <w:p w:rsidR="002165C1" w:rsidRDefault="002165C1"/>
    <w:p w:rsidR="002165C1" w:rsidRDefault="002165C1"/>
    <w:p w:rsidR="002165C1" w:rsidRDefault="002165C1"/>
    <w:p w:rsidR="002165C1" w:rsidRDefault="002165C1"/>
    <w:p w:rsidR="002165C1" w:rsidRDefault="002165C1"/>
    <w:p w:rsidR="002165C1" w:rsidRDefault="002165C1"/>
    <w:p w:rsidR="002165C1" w:rsidRDefault="002165C1"/>
    <w:p w:rsidR="002165C1" w:rsidRDefault="002165C1"/>
    <w:p w:rsidR="002165C1" w:rsidRDefault="002165C1"/>
    <w:p w:rsidR="002165C1" w:rsidRDefault="002165C1"/>
    <w:p w:rsidR="002165C1" w:rsidRDefault="002165C1">
      <w:pPr>
        <w:ind w:leftChars="-270" w:left="-567"/>
        <w:jc w:val="center"/>
        <w:rPr>
          <w:rStyle w:val="135brush"/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2165C1" w:rsidRDefault="00232AE8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>
        <w:rPr>
          <w:rStyle w:val="135brush"/>
          <w:rFonts w:ascii="微软雅黑" w:eastAsia="微软雅黑" w:hAnsi="微软雅黑" w:hint="eastAsia"/>
          <w:b/>
          <w:color w:val="000000" w:themeColor="text1"/>
          <w:sz w:val="28"/>
          <w:szCs w:val="28"/>
        </w:rPr>
        <w:t>我们的大学</w:t>
      </w:r>
    </w:p>
    <w:p w:rsidR="002165C1" w:rsidRDefault="00B51A61">
      <w:pPr>
        <w:spacing w:line="580" w:lineRule="exact"/>
        <w:ind w:leftChars="-135" w:left="-283" w:firstLineChars="48" w:firstLine="279"/>
        <w:jc w:val="center"/>
        <w:rPr>
          <w:rFonts w:ascii="黑体" w:eastAsia="黑体" w:hAnsi="黑体"/>
          <w:b/>
          <w:color w:val="000000" w:themeColor="text1"/>
          <w:sz w:val="58"/>
          <w:szCs w:val="58"/>
        </w:rPr>
      </w:pPr>
      <w:r>
        <w:rPr>
          <w:rFonts w:ascii="黑体" w:eastAsia="黑体" w:hAnsi="黑体"/>
          <w:b/>
          <w:color w:val="000000" w:themeColor="text1"/>
          <w:sz w:val="58"/>
          <w:szCs w:val="5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-23.25pt;margin-top:2.05pt;width:448.5pt;height:0;z-index:251675648" o:connectortype="straight" strokecolor="#c00000">
            <w10:anchorlock/>
          </v:shape>
        </w:pict>
      </w:r>
      <w:r w:rsidRPr="00B51A61">
        <w:rPr>
          <w:rFonts w:ascii="微软雅黑" w:eastAsia="微软雅黑" w:hAnsi="微软雅黑"/>
          <w:b/>
          <w:color w:val="000000" w:themeColor="text1"/>
          <w:sz w:val="28"/>
          <w:szCs w:val="28"/>
        </w:rPr>
        <w:pict>
          <v:rect id="_x0000_s1045" style="position:absolute;left:0;text-align:left;margin-left:158.95pt;margin-top:.3pt;width:84.4pt;height:3.55pt;z-index:251677696" fillcolor="#c00000" stroked="f">
            <w10:anchorlock/>
          </v:rect>
        </w:pict>
      </w:r>
    </w:p>
    <w:p w:rsidR="002165C1" w:rsidRDefault="00232AE8">
      <w:pPr>
        <w:spacing w:line="300" w:lineRule="exact"/>
        <w:ind w:leftChars="-270" w:left="-567" w:firstLineChars="58" w:firstLine="162"/>
        <w:rPr>
          <w:rFonts w:ascii="微软雅黑" w:eastAsia="微软雅黑" w:hAnsi="微软雅黑"/>
          <w:b/>
          <w:color w:val="FFFFFF" w:themeColor="background1"/>
          <w:sz w:val="28"/>
          <w:szCs w:val="28"/>
          <w:highlight w:val="darkRed"/>
          <w:shd w:val="pct10" w:color="auto" w:fill="FFFFFF"/>
        </w:rPr>
      </w:pPr>
      <w:r>
        <w:rPr>
          <w:rFonts w:ascii="微软雅黑" w:eastAsia="微软雅黑" w:hAnsi="微软雅黑" w:hint="eastAsia"/>
          <w:b/>
          <w:color w:val="FFFFFF" w:themeColor="background1"/>
          <w:sz w:val="28"/>
          <w:szCs w:val="28"/>
          <w:highlight w:val="darkRed"/>
          <w:shd w:val="pct10" w:color="auto" w:fill="FFFFFF"/>
        </w:rPr>
        <w:t>北京大学</w:t>
      </w:r>
    </w:p>
    <w:p w:rsidR="002165C1" w:rsidRDefault="00232AE8">
      <w:pPr>
        <w:spacing w:line="300" w:lineRule="exact"/>
        <w:ind w:leftChars="-270" w:left="-567" w:firstLineChars="58" w:firstLine="162"/>
        <w:rPr>
          <w:rFonts w:ascii="微软雅黑" w:eastAsia="微软雅黑" w:hAnsi="微软雅黑"/>
          <w:b/>
          <w:color w:val="FFFFFF" w:themeColor="background1"/>
          <w:sz w:val="28"/>
          <w:szCs w:val="28"/>
          <w:shd w:val="pct10" w:color="auto" w:fill="FFFFFF"/>
        </w:rPr>
      </w:pPr>
      <w:r>
        <w:rPr>
          <w:rFonts w:ascii="微软雅黑" w:eastAsia="微软雅黑" w:hAnsi="微软雅黑" w:hint="eastAsia"/>
          <w:b/>
          <w:color w:val="FFFFFF" w:themeColor="background1"/>
          <w:sz w:val="28"/>
          <w:szCs w:val="28"/>
          <w:highlight w:val="darkRed"/>
          <w:shd w:val="pct10" w:color="auto" w:fill="FFFFFF"/>
        </w:rPr>
        <w:t>PEKING UNIVERSITY</w:t>
      </w:r>
    </w:p>
    <w:p w:rsidR="002165C1" w:rsidRDefault="002165C1">
      <w:pPr>
        <w:spacing w:line="300" w:lineRule="exact"/>
        <w:ind w:leftChars="-270" w:left="-567" w:firstLineChars="58" w:firstLine="139"/>
        <w:rPr>
          <w:rFonts w:ascii="微软雅黑" w:eastAsia="微软雅黑" w:hAnsi="微软雅黑"/>
          <w:b/>
          <w:sz w:val="24"/>
        </w:rPr>
      </w:pPr>
    </w:p>
    <w:p w:rsidR="002165C1" w:rsidRDefault="00232AE8">
      <w:pPr>
        <w:pStyle w:val="1"/>
        <w:numPr>
          <w:ilvl w:val="0"/>
          <w:numId w:val="1"/>
        </w:numPr>
        <w:spacing w:line="380" w:lineRule="exact"/>
        <w:ind w:left="-5" w:firstLineChars="0"/>
        <w:rPr>
          <w:rFonts w:ascii="微软雅黑" w:eastAsia="微软雅黑" w:hAnsi="微软雅黑"/>
          <w:color w:val="262626" w:themeColor="text1" w:themeTint="D9"/>
        </w:rPr>
      </w:pPr>
      <w:r>
        <w:rPr>
          <w:rFonts w:ascii="微软雅黑" w:eastAsia="微软雅黑" w:hAnsi="微软雅黑" w:hint="eastAsia"/>
          <w:color w:val="262626" w:themeColor="text1" w:themeTint="D9"/>
        </w:rPr>
        <w:t>中国第一所国立综合性大学；</w:t>
      </w:r>
    </w:p>
    <w:p w:rsidR="002165C1" w:rsidRDefault="00232AE8">
      <w:pPr>
        <w:pStyle w:val="1"/>
        <w:numPr>
          <w:ilvl w:val="0"/>
          <w:numId w:val="1"/>
        </w:numPr>
        <w:spacing w:line="380" w:lineRule="exact"/>
        <w:ind w:left="-5" w:firstLineChars="0"/>
        <w:rPr>
          <w:rFonts w:ascii="微软雅黑" w:eastAsia="微软雅黑" w:hAnsi="微软雅黑"/>
          <w:color w:val="262626" w:themeColor="text1" w:themeTint="D9"/>
        </w:rPr>
      </w:pPr>
      <w:r>
        <w:rPr>
          <w:rFonts w:ascii="微软雅黑" w:eastAsia="微软雅黑" w:hAnsi="微软雅黑" w:hint="eastAsia"/>
          <w:color w:val="262626" w:themeColor="text1" w:themeTint="D9"/>
        </w:rPr>
        <w:t>新文化运动的中心和“五四”运动的策源地；</w:t>
      </w:r>
    </w:p>
    <w:p w:rsidR="002165C1" w:rsidRDefault="00232AE8">
      <w:pPr>
        <w:pStyle w:val="1"/>
        <w:numPr>
          <w:ilvl w:val="0"/>
          <w:numId w:val="1"/>
        </w:numPr>
        <w:spacing w:line="380" w:lineRule="exact"/>
        <w:ind w:left="-5" w:firstLineChars="0"/>
        <w:rPr>
          <w:rFonts w:ascii="微软雅黑" w:eastAsia="微软雅黑" w:hAnsi="微软雅黑"/>
          <w:color w:val="262626" w:themeColor="text1" w:themeTint="D9"/>
        </w:rPr>
      </w:pPr>
      <w:r>
        <w:rPr>
          <w:rFonts w:ascii="微软雅黑" w:eastAsia="微软雅黑" w:hAnsi="微软雅黑" w:hint="eastAsia"/>
          <w:color w:val="262626" w:themeColor="text1" w:themeTint="D9"/>
        </w:rPr>
        <w:t>文、理、工、医等学科交融的综合性大学；</w:t>
      </w:r>
    </w:p>
    <w:p w:rsidR="002165C1" w:rsidRDefault="00232AE8">
      <w:pPr>
        <w:pStyle w:val="1"/>
        <w:numPr>
          <w:ilvl w:val="0"/>
          <w:numId w:val="1"/>
        </w:numPr>
        <w:spacing w:line="380" w:lineRule="exact"/>
        <w:ind w:left="-5" w:firstLineChars="0"/>
        <w:rPr>
          <w:rFonts w:ascii="微软雅黑" w:eastAsia="微软雅黑" w:hAnsi="微软雅黑"/>
          <w:color w:val="262626" w:themeColor="text1" w:themeTint="D9"/>
        </w:rPr>
      </w:pPr>
      <w:r>
        <w:rPr>
          <w:rFonts w:ascii="微软雅黑" w:eastAsia="微软雅黑" w:hAnsi="微软雅黑" w:hint="eastAsia"/>
          <w:color w:val="262626" w:themeColor="text1" w:themeTint="D9"/>
        </w:rPr>
        <w:t>中国最早开设商科教育的大学；</w:t>
      </w:r>
    </w:p>
    <w:p w:rsidR="002165C1" w:rsidRDefault="00232AE8">
      <w:pPr>
        <w:pStyle w:val="1"/>
        <w:numPr>
          <w:ilvl w:val="0"/>
          <w:numId w:val="1"/>
        </w:numPr>
        <w:spacing w:line="380" w:lineRule="exact"/>
        <w:ind w:left="-5" w:firstLineChars="0"/>
        <w:rPr>
          <w:rFonts w:ascii="微软雅黑" w:eastAsia="微软雅黑" w:hAnsi="微软雅黑"/>
          <w:color w:val="262626" w:themeColor="text1" w:themeTint="D9"/>
        </w:rPr>
      </w:pPr>
      <w:r>
        <w:rPr>
          <w:rFonts w:ascii="微软雅黑" w:eastAsia="微软雅黑" w:hAnsi="微软雅黑" w:hint="eastAsia"/>
          <w:color w:val="262626" w:themeColor="text1" w:themeTint="D9"/>
        </w:rPr>
        <w:t>中国首批获国家认可创办EMBA教育的院校；</w:t>
      </w:r>
    </w:p>
    <w:p w:rsidR="002165C1" w:rsidRDefault="00232AE8">
      <w:pPr>
        <w:pStyle w:val="1"/>
        <w:numPr>
          <w:ilvl w:val="0"/>
          <w:numId w:val="1"/>
        </w:numPr>
        <w:spacing w:line="380" w:lineRule="exact"/>
        <w:ind w:left="-5" w:firstLineChars="0"/>
        <w:rPr>
          <w:rFonts w:ascii="微软雅黑" w:eastAsia="微软雅黑" w:hAnsi="微软雅黑"/>
          <w:color w:val="262626" w:themeColor="text1" w:themeTint="D9"/>
        </w:rPr>
      </w:pPr>
      <w:r>
        <w:rPr>
          <w:rFonts w:ascii="微软雅黑" w:eastAsia="微软雅黑" w:hAnsi="微软雅黑" w:hint="eastAsia"/>
          <w:color w:val="262626" w:themeColor="text1" w:themeTint="D9"/>
        </w:rPr>
        <w:t>被学子们评为“最有情怀的大学”。</w:t>
      </w:r>
    </w:p>
    <w:p w:rsidR="002165C1" w:rsidRDefault="002165C1">
      <w:pPr>
        <w:spacing w:line="360" w:lineRule="exact"/>
        <w:ind w:leftChars="-202" w:left="-424"/>
        <w:rPr>
          <w:rFonts w:ascii="微软雅黑" w:eastAsia="微软雅黑" w:hAnsi="微软雅黑"/>
          <w:b/>
        </w:rPr>
      </w:pPr>
    </w:p>
    <w:p w:rsidR="002165C1" w:rsidRDefault="00232AE8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我们的荣誉</w:t>
      </w:r>
    </w:p>
    <w:p w:rsidR="002165C1" w:rsidRDefault="00B51A61">
      <w:r w:rsidRPr="00B51A61">
        <w:rPr>
          <w:color w:val="262626" w:themeColor="text1" w:themeTint="D9"/>
        </w:rPr>
        <w:pict>
          <v:shape id="_x0000_s1026" type="#_x0000_t32" style="position:absolute;left:0;text-align:left;margin-left:-17.25pt;margin-top:11.35pt;width:.05pt;height:92.05pt;z-index:251664384" o:connectortype="straight" strokecolor="#272727"/>
        </w:pict>
      </w:r>
      <w:r>
        <w:pict>
          <v:rect id="_x0000_s1047" style="position:absolute;left:0;text-align:left;margin-left:162.7pt;margin-top:2.85pt;width:84.4pt;height:3.55pt;z-index:251679744" fillcolor="#c00000" stroked="f">
            <w10:anchorlock/>
          </v:rect>
        </w:pict>
      </w:r>
      <w:r>
        <w:pict>
          <v:shape id="_x0000_s1046" type="#_x0000_t32" style="position:absolute;left:0;text-align:left;margin-left:-18.75pt;margin-top:4pt;width:448.5pt;height:0;z-index:251678720" o:connectortype="straight" strokecolor="#c00000">
            <w10:anchorlock/>
          </v:shape>
        </w:pict>
      </w:r>
    </w:p>
    <w:p w:rsidR="002165C1" w:rsidRDefault="00B51A61">
      <w:pPr>
        <w:spacing w:line="480" w:lineRule="exact"/>
        <w:ind w:left="-425"/>
        <w:rPr>
          <w:rFonts w:ascii="微软雅黑" w:eastAsia="微软雅黑" w:hAnsi="微软雅黑"/>
          <w:color w:val="262626" w:themeColor="text1" w:themeTint="D9"/>
        </w:rPr>
      </w:pPr>
      <w:r>
        <w:rPr>
          <w:rFonts w:ascii="微软雅黑" w:eastAsia="微软雅黑" w:hAnsi="微软雅黑"/>
          <w:color w:val="262626" w:themeColor="text1" w:themeTint="D9"/>
        </w:rPr>
        <w:pict>
          <v:oval id="_x0000_s1027" style="position:absolute;left:0;text-align:left;margin-left:-20.25pt;margin-top:11.45pt;width:7.15pt;height:7.15pt;z-index:251665408" strokecolor="#272727"/>
        </w:pict>
      </w:r>
      <w:r w:rsidR="00232AE8">
        <w:rPr>
          <w:rFonts w:ascii="微软雅黑" w:eastAsia="微软雅黑" w:hAnsi="微软雅黑" w:hint="eastAsia"/>
          <w:color w:val="262626" w:themeColor="text1" w:themeTint="D9"/>
        </w:rPr>
        <w:t xml:space="preserve">   北大金融CEO在国内被誉为“中国最具特色CEO项目”“最佳创新教育产品”</w:t>
      </w:r>
    </w:p>
    <w:p w:rsidR="002165C1" w:rsidRDefault="00B51A61">
      <w:pPr>
        <w:spacing w:line="480" w:lineRule="exact"/>
        <w:ind w:left="-425"/>
        <w:rPr>
          <w:rFonts w:ascii="微软雅黑" w:eastAsia="微软雅黑" w:hAnsi="微软雅黑"/>
          <w:color w:val="262626" w:themeColor="text1" w:themeTint="D9"/>
        </w:rPr>
      </w:pPr>
      <w:r>
        <w:rPr>
          <w:rFonts w:ascii="微软雅黑" w:eastAsia="微软雅黑" w:hAnsi="微软雅黑"/>
          <w:color w:val="262626" w:themeColor="text1" w:themeTint="D9"/>
        </w:rPr>
        <w:pict>
          <v:oval id="_x0000_s1028" style="position:absolute;left:0;text-align:left;margin-left:-20.25pt;margin-top:11.95pt;width:7.15pt;height:7.15pt;z-index:251666432" strokecolor="#272727"/>
        </w:pict>
      </w:r>
      <w:r w:rsidR="00232AE8">
        <w:rPr>
          <w:rFonts w:ascii="微软雅黑" w:eastAsia="微软雅黑" w:hAnsi="微软雅黑" w:hint="eastAsia"/>
          <w:color w:val="262626" w:themeColor="text1" w:themeTint="D9"/>
        </w:rPr>
        <w:t xml:space="preserve">   北大金融CEO在国内校友会中，被誉为“万名校友，资源共享”项目</w:t>
      </w:r>
    </w:p>
    <w:p w:rsidR="002165C1" w:rsidRDefault="00B51A61">
      <w:pPr>
        <w:spacing w:line="480" w:lineRule="exact"/>
        <w:ind w:left="-425"/>
        <w:rPr>
          <w:rFonts w:ascii="微软雅黑" w:eastAsia="微软雅黑" w:hAnsi="微软雅黑"/>
          <w:color w:val="262626" w:themeColor="text1" w:themeTint="D9"/>
        </w:rPr>
      </w:pPr>
      <w:r>
        <w:rPr>
          <w:rFonts w:ascii="微软雅黑" w:eastAsia="微软雅黑" w:hAnsi="微软雅黑"/>
          <w:color w:val="262626" w:themeColor="text1" w:themeTint="D9"/>
        </w:rPr>
        <w:pict>
          <v:oval id="_x0000_s1029" style="position:absolute;left:0;text-align:left;margin-left:-20.25pt;margin-top:12.45pt;width:7.15pt;height:7.15pt;z-index:251667456" strokecolor="#272727"/>
        </w:pict>
      </w:r>
      <w:r w:rsidR="00232AE8">
        <w:rPr>
          <w:rFonts w:ascii="微软雅黑" w:eastAsia="微软雅黑" w:hAnsi="微软雅黑" w:hint="eastAsia"/>
          <w:color w:val="262626" w:themeColor="text1" w:themeTint="D9"/>
        </w:rPr>
        <w:t xml:space="preserve">   北大金融CEO主创人员荣获北京大学优秀教育成果一等奖</w:t>
      </w:r>
    </w:p>
    <w:p w:rsidR="002165C1" w:rsidRDefault="002165C1">
      <w:pPr>
        <w:ind w:leftChars="-270" w:left="-567"/>
        <w:rPr>
          <w:sz w:val="24"/>
        </w:rPr>
      </w:pPr>
    </w:p>
    <w:p w:rsidR="002165C1" w:rsidRDefault="00232AE8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我们的培养目标</w:t>
      </w:r>
    </w:p>
    <w:p w:rsidR="002165C1" w:rsidRDefault="00B51A61">
      <w:r w:rsidRPr="00B51A61">
        <w:rPr>
          <w:rFonts w:ascii="微软雅黑" w:eastAsia="微软雅黑" w:hAnsi="微软雅黑"/>
          <w:color w:val="262626" w:themeColor="text1" w:themeTint="D9"/>
        </w:rPr>
        <w:pict>
          <v:rect id="_x0000_s1049" style="position:absolute;left:0;text-align:left;margin-left:155.05pt;margin-top:.05pt;width:96.4pt;height:3.55pt;z-index:251681792" fillcolor="#c00000" stroked="f">
            <w10:anchorlock/>
          </v:rect>
        </w:pict>
      </w:r>
      <w:r w:rsidRPr="00B51A61">
        <w:rPr>
          <w:color w:val="262626" w:themeColor="text1" w:themeTint="D9"/>
        </w:rPr>
        <w:pict>
          <v:shape id="_x0000_s1048" type="#_x0000_t32" style="position:absolute;left:0;text-align:left;margin-left:-19.85pt;margin-top:1.8pt;width:448.5pt;height:0;z-index:251680768" o:connectortype="straight" strokecolor="#c00000">
            <w10:anchorlock/>
          </v:shape>
        </w:pict>
      </w:r>
    </w:p>
    <w:p w:rsidR="002165C1" w:rsidRDefault="00232AE8">
      <w:pPr>
        <w:pStyle w:val="1"/>
        <w:numPr>
          <w:ilvl w:val="0"/>
          <w:numId w:val="2"/>
        </w:numPr>
        <w:spacing w:line="380" w:lineRule="exact"/>
        <w:ind w:firstLineChars="0"/>
        <w:rPr>
          <w:rFonts w:ascii="微软雅黑" w:eastAsia="微软雅黑" w:hAnsi="微软雅黑"/>
          <w:color w:val="262626" w:themeColor="text1" w:themeTint="D9"/>
        </w:rPr>
      </w:pPr>
      <w:r>
        <w:rPr>
          <w:rFonts w:ascii="微软雅黑" w:eastAsia="微软雅黑" w:hAnsi="微软雅黑" w:hint="eastAsia"/>
          <w:color w:val="262626" w:themeColor="text1" w:themeTint="D9"/>
        </w:rPr>
        <w:t>通过对国际宏观经济金融环境分析，深刻理解企业经营的环境，提高应对宏观变化的能力；</w:t>
      </w:r>
    </w:p>
    <w:p w:rsidR="002165C1" w:rsidRDefault="00232AE8">
      <w:pPr>
        <w:pStyle w:val="1"/>
        <w:numPr>
          <w:ilvl w:val="0"/>
          <w:numId w:val="2"/>
        </w:numPr>
        <w:spacing w:line="380" w:lineRule="exact"/>
        <w:ind w:firstLineChars="0"/>
        <w:rPr>
          <w:rFonts w:ascii="微软雅黑" w:eastAsia="微软雅黑" w:hAnsi="微软雅黑"/>
          <w:color w:val="262626" w:themeColor="text1" w:themeTint="D9"/>
        </w:rPr>
      </w:pPr>
      <w:r>
        <w:rPr>
          <w:rFonts w:ascii="微软雅黑" w:eastAsia="微软雅黑" w:hAnsi="微软雅黑" w:hint="eastAsia"/>
          <w:color w:val="262626" w:themeColor="text1" w:themeTint="D9"/>
        </w:rPr>
        <w:t>了解现代金融工具与方法，丰富投融资理论素养，掌握企业资本运作的方法与工具；</w:t>
      </w:r>
    </w:p>
    <w:p w:rsidR="002165C1" w:rsidRDefault="00232AE8">
      <w:pPr>
        <w:pStyle w:val="1"/>
        <w:numPr>
          <w:ilvl w:val="0"/>
          <w:numId w:val="2"/>
        </w:numPr>
        <w:spacing w:line="380" w:lineRule="exact"/>
        <w:ind w:firstLineChars="0"/>
        <w:rPr>
          <w:rFonts w:ascii="微软雅黑" w:eastAsia="微软雅黑" w:hAnsi="微软雅黑"/>
          <w:color w:val="262626" w:themeColor="text1" w:themeTint="D9"/>
        </w:rPr>
      </w:pPr>
      <w:r>
        <w:rPr>
          <w:rFonts w:ascii="微软雅黑" w:eastAsia="微软雅黑" w:hAnsi="微软雅黑" w:hint="eastAsia"/>
          <w:color w:val="262626" w:themeColor="text1" w:themeTint="D9"/>
        </w:rPr>
        <w:t>洞悉最新的互联网金融运作模式，结合现代金融工具与方法创新商业模式，为企业获得新的成长动力；</w:t>
      </w:r>
    </w:p>
    <w:p w:rsidR="002165C1" w:rsidRDefault="00232AE8">
      <w:pPr>
        <w:pStyle w:val="1"/>
        <w:numPr>
          <w:ilvl w:val="0"/>
          <w:numId w:val="2"/>
        </w:numPr>
        <w:spacing w:line="380" w:lineRule="exact"/>
        <w:ind w:firstLineChars="0"/>
        <w:rPr>
          <w:rFonts w:ascii="微软雅黑" w:eastAsia="微软雅黑" w:hAnsi="微软雅黑"/>
          <w:color w:val="262626" w:themeColor="text1" w:themeTint="D9"/>
        </w:rPr>
      </w:pPr>
      <w:r>
        <w:rPr>
          <w:rFonts w:ascii="微软雅黑" w:eastAsia="微软雅黑" w:hAnsi="微软雅黑" w:hint="eastAsia"/>
          <w:color w:val="262626" w:themeColor="text1" w:themeTint="D9"/>
        </w:rPr>
        <w:t>汇集亚太地区最优秀的教授、专家，国内外实战案例教学，借鉴成功与失败的经验；</w:t>
      </w:r>
    </w:p>
    <w:p w:rsidR="002165C1" w:rsidRDefault="00232AE8">
      <w:pPr>
        <w:pStyle w:val="1"/>
        <w:numPr>
          <w:ilvl w:val="0"/>
          <w:numId w:val="2"/>
        </w:numPr>
        <w:spacing w:line="380" w:lineRule="exact"/>
        <w:ind w:firstLineChars="0"/>
        <w:rPr>
          <w:rFonts w:ascii="微软雅黑" w:eastAsia="微软雅黑" w:hAnsi="微软雅黑"/>
          <w:color w:val="262626" w:themeColor="text1" w:themeTint="D9"/>
        </w:rPr>
      </w:pPr>
      <w:r>
        <w:rPr>
          <w:rFonts w:ascii="微软雅黑" w:eastAsia="微软雅黑" w:hAnsi="微软雅黑" w:hint="eastAsia"/>
          <w:color w:val="262626" w:themeColor="text1" w:themeTint="D9"/>
        </w:rPr>
        <w:t>汇聚最强大的校友资源，搭建金融高端资源平台，获得合作先机。</w:t>
      </w:r>
    </w:p>
    <w:p w:rsidR="002165C1" w:rsidRDefault="002165C1">
      <w:pPr>
        <w:spacing w:line="380" w:lineRule="exact"/>
        <w:ind w:left="-425"/>
        <w:rPr>
          <w:rFonts w:ascii="微软雅黑" w:eastAsia="微软雅黑" w:hAnsi="微软雅黑"/>
          <w:color w:val="262626" w:themeColor="text1" w:themeTint="D9"/>
        </w:rPr>
      </w:pPr>
    </w:p>
    <w:p w:rsidR="002165C1" w:rsidRDefault="002165C1">
      <w:pPr>
        <w:spacing w:line="380" w:lineRule="exact"/>
        <w:ind w:left="-425"/>
        <w:rPr>
          <w:rFonts w:ascii="微软雅黑" w:eastAsia="微软雅黑" w:hAnsi="微软雅黑"/>
          <w:color w:val="262626" w:themeColor="text1" w:themeTint="D9"/>
        </w:rPr>
      </w:pPr>
    </w:p>
    <w:p w:rsidR="002165C1" w:rsidRDefault="00B51A61">
      <w:pPr>
        <w:ind w:leftChars="-270" w:left="-567" w:firstLineChars="58" w:firstLine="122"/>
        <w:jc w:val="center"/>
        <w:rPr>
          <w:rFonts w:ascii="微软雅黑" w:eastAsia="微软雅黑" w:hAnsi="微软雅黑"/>
          <w:b/>
          <w:sz w:val="28"/>
          <w:szCs w:val="28"/>
        </w:rPr>
      </w:pPr>
      <w:r w:rsidRPr="00B51A61">
        <w:rPr>
          <w:rFonts w:ascii="微软雅黑" w:eastAsia="微软雅黑" w:hAnsi="微软雅黑"/>
          <w:color w:val="262626" w:themeColor="text1" w:themeTint="D9"/>
        </w:rPr>
        <w:pict>
          <v:rect id="_x0000_s1051" style="position:absolute;left:0;text-align:left;margin-left:160.45pt;margin-top:29.7pt;width:85.05pt;height:3.55pt;z-index:251683840" fillcolor="#c00000" stroked="f">
            <w10:anchorlock/>
          </v:rect>
        </w:pict>
      </w:r>
      <w:r w:rsidR="00232AE8">
        <w:rPr>
          <w:rFonts w:ascii="微软雅黑" w:eastAsia="微软雅黑" w:hAnsi="微软雅黑" w:hint="eastAsia"/>
          <w:b/>
          <w:sz w:val="28"/>
          <w:szCs w:val="28"/>
        </w:rPr>
        <w:t>我们的论坛</w:t>
      </w:r>
    </w:p>
    <w:p w:rsidR="002165C1" w:rsidRDefault="00B51A61">
      <w:pPr>
        <w:ind w:leftChars="-202" w:left="-424"/>
      </w:pPr>
      <w:r w:rsidRPr="00B51A61">
        <w:rPr>
          <w:rFonts w:ascii="微软雅黑" w:eastAsia="微软雅黑" w:hAnsi="微软雅黑"/>
          <w:color w:val="262626" w:themeColor="text1" w:themeTint="D9"/>
        </w:rPr>
        <w:pict>
          <v:shape id="_x0000_s1050" type="#_x0000_t32" style="position:absolute;left:0;text-align:left;margin-left:-21.35pt;margin-top:0;width:448.5pt;height:0;z-index:251682816" o:connectortype="straight" strokecolor="#c00000">
            <w10:anchorlock/>
          </v:shape>
        </w:pict>
      </w:r>
    </w:p>
    <w:p w:rsidR="002165C1" w:rsidRDefault="00232AE8">
      <w:pPr>
        <w:spacing w:line="300" w:lineRule="exact"/>
        <w:ind w:leftChars="-270" w:left="-567" w:firstLineChars="58" w:firstLine="193"/>
        <w:rPr>
          <w:rFonts w:ascii="微软雅黑" w:eastAsia="微软雅黑" w:hAnsi="微软雅黑"/>
          <w:b/>
          <w:color w:val="FFFFFF" w:themeColor="background1"/>
          <w:spacing w:val="46"/>
          <w:sz w:val="24"/>
          <w:highlight w:val="darkRed"/>
          <w:shd w:val="pct10" w:color="auto" w:fill="FFFFFF"/>
        </w:rPr>
      </w:pPr>
      <w:r>
        <w:rPr>
          <w:rFonts w:ascii="微软雅黑" w:eastAsia="微软雅黑" w:hAnsi="微软雅黑" w:hint="eastAsia"/>
          <w:b/>
          <w:color w:val="FFFFFF" w:themeColor="background1"/>
          <w:spacing w:val="46"/>
          <w:sz w:val="24"/>
          <w:highlight w:val="darkRed"/>
          <w:shd w:val="pct10" w:color="auto" w:fill="FFFFFF"/>
        </w:rPr>
        <w:t>历届论坛嘉宾</w:t>
      </w:r>
    </w:p>
    <w:p w:rsidR="002165C1" w:rsidRDefault="00232AE8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 xml:space="preserve">李  扬 </w:t>
      </w:r>
      <w:r>
        <w:rPr>
          <w:rFonts w:ascii="微软雅黑" w:eastAsia="微软雅黑" w:hAnsi="微软雅黑" w:hint="eastAsia"/>
          <w:szCs w:val="21"/>
        </w:rPr>
        <w:tab/>
        <w:t xml:space="preserve">中国社会科学院 副院长  </w:t>
      </w:r>
      <w:r>
        <w:rPr>
          <w:rFonts w:ascii="微软雅黑" w:eastAsia="微软雅黑" w:hAnsi="微软雅黑" w:hint="eastAsia"/>
          <w:szCs w:val="21"/>
        </w:rPr>
        <w:tab/>
        <w:t xml:space="preserve">            </w:t>
      </w:r>
      <w:r>
        <w:rPr>
          <w:rFonts w:ascii="微软雅黑" w:eastAsia="微软雅黑" w:hAnsi="微软雅黑" w:hint="eastAsia"/>
          <w:b/>
          <w:szCs w:val="21"/>
        </w:rPr>
        <w:t>龙永图</w:t>
      </w:r>
      <w:r>
        <w:rPr>
          <w:rFonts w:ascii="微软雅黑" w:eastAsia="微软雅黑" w:hAnsi="微软雅黑" w:hint="eastAsia"/>
          <w:szCs w:val="21"/>
        </w:rPr>
        <w:tab/>
        <w:t>博鳌亚洲论坛 原秘书长</w:t>
      </w:r>
    </w:p>
    <w:p w:rsidR="002165C1" w:rsidRDefault="00232AE8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易  纲</w:t>
      </w:r>
      <w:r>
        <w:rPr>
          <w:rFonts w:ascii="微软雅黑" w:eastAsia="微软雅黑" w:hAnsi="微软雅黑" w:hint="eastAsia"/>
          <w:szCs w:val="21"/>
        </w:rPr>
        <w:tab/>
        <w:t>中国人民银行 副行长</w:t>
      </w:r>
      <w:r>
        <w:rPr>
          <w:rFonts w:ascii="微软雅黑" w:eastAsia="微软雅黑" w:hAnsi="微软雅黑" w:hint="eastAsia"/>
          <w:szCs w:val="21"/>
        </w:rPr>
        <w:tab/>
        <w:t xml:space="preserve">                </w:t>
      </w:r>
      <w:r>
        <w:rPr>
          <w:rFonts w:ascii="微软雅黑" w:eastAsia="微软雅黑" w:hAnsi="微软雅黑" w:hint="eastAsia"/>
          <w:b/>
          <w:szCs w:val="21"/>
        </w:rPr>
        <w:t>樊  纲</w:t>
      </w:r>
      <w:r>
        <w:rPr>
          <w:rFonts w:ascii="微软雅黑" w:eastAsia="微软雅黑" w:hAnsi="微软雅黑" w:hint="eastAsia"/>
          <w:b/>
          <w:szCs w:val="21"/>
        </w:rPr>
        <w:tab/>
      </w:r>
      <w:r>
        <w:rPr>
          <w:rFonts w:ascii="微软雅黑" w:eastAsia="微软雅黑" w:hAnsi="微软雅黑" w:hint="eastAsia"/>
          <w:szCs w:val="21"/>
        </w:rPr>
        <w:t>国民经济研究所 所长</w:t>
      </w:r>
    </w:p>
    <w:p w:rsidR="002165C1" w:rsidRDefault="00232AE8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周其仁</w:t>
      </w:r>
      <w:r>
        <w:rPr>
          <w:rFonts w:ascii="微软雅黑" w:eastAsia="微软雅黑" w:hAnsi="微软雅黑" w:hint="eastAsia"/>
          <w:szCs w:val="21"/>
        </w:rPr>
        <w:t xml:space="preserve">  北大国家发展研究院 原院长</w:t>
      </w:r>
      <w:r>
        <w:rPr>
          <w:rFonts w:ascii="微软雅黑" w:eastAsia="微软雅黑" w:hAnsi="微软雅黑" w:hint="eastAsia"/>
          <w:szCs w:val="21"/>
        </w:rPr>
        <w:tab/>
        <w:t xml:space="preserve">        </w:t>
      </w:r>
      <w:r>
        <w:rPr>
          <w:rFonts w:ascii="微软雅黑" w:eastAsia="微软雅黑" w:hAnsi="微软雅黑" w:hint="eastAsia"/>
          <w:b/>
          <w:szCs w:val="21"/>
        </w:rPr>
        <w:t>肖  耿</w:t>
      </w:r>
      <w:r>
        <w:rPr>
          <w:rFonts w:ascii="微软雅黑" w:eastAsia="微软雅黑" w:hAnsi="微软雅黑" w:hint="eastAsia"/>
          <w:szCs w:val="21"/>
        </w:rPr>
        <w:tab/>
        <w:t>清华—布鲁金斯中心 主任</w:t>
      </w:r>
    </w:p>
    <w:p w:rsidR="002165C1" w:rsidRDefault="00232AE8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黄益平</w:t>
      </w:r>
      <w:r>
        <w:rPr>
          <w:rFonts w:ascii="微软雅黑" w:eastAsia="微软雅黑" w:hAnsi="微软雅黑" w:hint="eastAsia"/>
          <w:szCs w:val="21"/>
        </w:rPr>
        <w:tab/>
        <w:t>花旗银行亚太区首席 经济学家</w:t>
      </w:r>
      <w:r>
        <w:rPr>
          <w:rFonts w:ascii="微软雅黑" w:eastAsia="微软雅黑" w:hAnsi="微软雅黑" w:hint="eastAsia"/>
          <w:szCs w:val="21"/>
        </w:rPr>
        <w:tab/>
        <w:t xml:space="preserve">        </w:t>
      </w:r>
      <w:r>
        <w:rPr>
          <w:rFonts w:ascii="微软雅黑" w:eastAsia="微软雅黑" w:hAnsi="微软雅黑" w:hint="eastAsia"/>
          <w:b/>
          <w:szCs w:val="21"/>
        </w:rPr>
        <w:t>汤  敏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ab/>
        <w:t>中国发展研究基金会 副秘书长</w:t>
      </w:r>
    </w:p>
    <w:p w:rsidR="002165C1" w:rsidRDefault="00232AE8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吴晓灵</w:t>
      </w:r>
      <w:r>
        <w:rPr>
          <w:rFonts w:ascii="微软雅黑" w:eastAsia="微软雅黑" w:hAnsi="微软雅黑" w:hint="eastAsia"/>
          <w:szCs w:val="21"/>
        </w:rPr>
        <w:tab/>
        <w:t>中国人民银行 原副行长</w:t>
      </w:r>
      <w:r>
        <w:rPr>
          <w:rFonts w:ascii="微软雅黑" w:eastAsia="微软雅黑" w:hAnsi="微软雅黑" w:hint="eastAsia"/>
          <w:szCs w:val="21"/>
        </w:rPr>
        <w:tab/>
        <w:t xml:space="preserve">            </w:t>
      </w:r>
      <w:r>
        <w:rPr>
          <w:rFonts w:ascii="微软雅黑" w:eastAsia="微软雅黑" w:hAnsi="微软雅黑" w:hint="eastAsia"/>
          <w:b/>
          <w:szCs w:val="21"/>
        </w:rPr>
        <w:t>姚景源</w:t>
      </w:r>
      <w:r>
        <w:rPr>
          <w:rFonts w:ascii="微软雅黑" w:eastAsia="微软雅黑" w:hAnsi="微软雅黑" w:hint="eastAsia"/>
          <w:szCs w:val="21"/>
        </w:rPr>
        <w:tab/>
        <w:t xml:space="preserve">国家统计局 原总经济师 </w:t>
      </w:r>
    </w:p>
    <w:p w:rsidR="002165C1" w:rsidRDefault="00232AE8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韩秀云</w:t>
      </w:r>
      <w:r>
        <w:rPr>
          <w:rFonts w:ascii="微软雅黑" w:eastAsia="微软雅黑" w:hAnsi="微软雅黑" w:hint="eastAsia"/>
          <w:szCs w:val="21"/>
        </w:rPr>
        <w:tab/>
        <w:t xml:space="preserve">清华中国经济研究中心 研究员        </w:t>
      </w:r>
      <w:r>
        <w:rPr>
          <w:rFonts w:ascii="微软雅黑" w:eastAsia="微软雅黑" w:hAnsi="微软雅黑" w:hint="eastAsia"/>
          <w:b/>
          <w:szCs w:val="21"/>
        </w:rPr>
        <w:t xml:space="preserve"> 孟晓苏</w:t>
      </w:r>
      <w:r>
        <w:rPr>
          <w:rFonts w:ascii="微软雅黑" w:eastAsia="微软雅黑" w:hAnsi="微软雅黑" w:hint="eastAsia"/>
          <w:szCs w:val="21"/>
        </w:rPr>
        <w:tab/>
        <w:t>中房集团 理事长</w:t>
      </w:r>
    </w:p>
    <w:p w:rsidR="002165C1" w:rsidRDefault="00232AE8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祁  斌</w:t>
      </w:r>
      <w:r>
        <w:rPr>
          <w:rFonts w:ascii="微软雅黑" w:eastAsia="微软雅黑" w:hAnsi="微软雅黑" w:hint="eastAsia"/>
          <w:szCs w:val="21"/>
        </w:rPr>
        <w:tab/>
        <w:t xml:space="preserve">中国证监会研究中心 主任            </w:t>
      </w:r>
      <w:r>
        <w:rPr>
          <w:rFonts w:ascii="微软雅黑" w:eastAsia="微软雅黑" w:hAnsi="微软雅黑" w:hint="eastAsia"/>
          <w:b/>
          <w:szCs w:val="21"/>
        </w:rPr>
        <w:t xml:space="preserve"> 刘晓光</w:t>
      </w:r>
      <w:r>
        <w:rPr>
          <w:rFonts w:ascii="微软雅黑" w:eastAsia="微软雅黑" w:hAnsi="微软雅黑" w:hint="eastAsia"/>
          <w:b/>
          <w:szCs w:val="21"/>
        </w:rPr>
        <w:tab/>
      </w:r>
      <w:r>
        <w:rPr>
          <w:rFonts w:ascii="微软雅黑" w:eastAsia="微软雅黑" w:hAnsi="微软雅黑" w:hint="eastAsia"/>
          <w:szCs w:val="21"/>
        </w:rPr>
        <w:t>北京首创集团 原董事长</w:t>
      </w:r>
    </w:p>
    <w:p w:rsidR="002165C1" w:rsidRDefault="002165C1">
      <w:pPr>
        <w:spacing w:line="380" w:lineRule="exact"/>
        <w:rPr>
          <w:rFonts w:ascii="微软雅黑" w:eastAsia="微软雅黑" w:hAnsi="微软雅黑"/>
          <w:color w:val="262626" w:themeColor="text1" w:themeTint="D9"/>
        </w:rPr>
      </w:pPr>
    </w:p>
    <w:p w:rsidR="002165C1" w:rsidRDefault="002165C1">
      <w:pPr>
        <w:spacing w:line="380" w:lineRule="exact"/>
        <w:rPr>
          <w:rFonts w:ascii="微软雅黑" w:eastAsia="微软雅黑" w:hAnsi="微软雅黑"/>
          <w:color w:val="262626" w:themeColor="text1" w:themeTint="D9"/>
        </w:rPr>
      </w:pPr>
    </w:p>
    <w:p w:rsidR="002165C1" w:rsidRDefault="00B51A61">
      <w:pPr>
        <w:ind w:leftChars="-270" w:left="-567" w:firstLineChars="58" w:firstLine="122"/>
        <w:jc w:val="center"/>
        <w:rPr>
          <w:rFonts w:ascii="微软雅黑" w:eastAsia="微软雅黑" w:hAnsi="微软雅黑"/>
          <w:b/>
          <w:sz w:val="28"/>
          <w:szCs w:val="28"/>
        </w:rPr>
      </w:pPr>
      <w:r w:rsidRPr="00B51A61">
        <w:rPr>
          <w:rFonts w:ascii="微软雅黑" w:eastAsia="微软雅黑" w:hAnsi="微软雅黑"/>
          <w:color w:val="262626" w:themeColor="text1" w:themeTint="D9"/>
        </w:rPr>
        <w:pict>
          <v:rect id="_x0000_s1053" style="position:absolute;left:0;text-align:left;margin-left:160.45pt;margin-top:27.2pt;width:85.05pt;height:3.55pt;z-index:251685888" fillcolor="#c00000" stroked="f">
            <w10:anchorlock/>
          </v:rect>
        </w:pict>
      </w:r>
      <w:r w:rsidRPr="00B51A61">
        <w:rPr>
          <w:rFonts w:ascii="微软雅黑" w:eastAsia="微软雅黑" w:hAnsi="微软雅黑"/>
          <w:color w:val="262626" w:themeColor="text1" w:themeTint="D9"/>
        </w:rPr>
        <w:pict>
          <v:shape id="_x0000_s1052" type="#_x0000_t32" style="position:absolute;left:0;text-align:left;margin-left:-21.35pt;margin-top:28.65pt;width:448.5pt;height:0;z-index:251684864" o:connectortype="straight" strokecolor="#c00000">
            <w10:anchorlock/>
          </v:shape>
        </w:pict>
      </w:r>
      <w:r w:rsidR="00232AE8">
        <w:rPr>
          <w:rFonts w:ascii="微软雅黑" w:eastAsia="微软雅黑" w:hAnsi="微软雅黑" w:hint="eastAsia"/>
          <w:b/>
          <w:sz w:val="28"/>
          <w:szCs w:val="28"/>
        </w:rPr>
        <w:t>我们的课程</w:t>
      </w:r>
    </w:p>
    <w:p w:rsidR="002165C1" w:rsidRDefault="002165C1">
      <w:pPr>
        <w:spacing w:line="300" w:lineRule="exact"/>
        <w:rPr>
          <w:rFonts w:ascii="微软雅黑" w:eastAsia="微软雅黑" w:hAnsi="微软雅黑"/>
          <w:b/>
          <w:color w:val="FFFFFF" w:themeColor="background1"/>
          <w:sz w:val="28"/>
          <w:szCs w:val="28"/>
          <w:shd w:val="pct10" w:color="auto" w:fill="FFFFFF"/>
        </w:rPr>
      </w:pPr>
    </w:p>
    <w:p w:rsidR="002165C1" w:rsidRDefault="00232AE8">
      <w:pPr>
        <w:spacing w:line="360" w:lineRule="exact"/>
        <w:ind w:leftChars="-270" w:left="-567" w:firstLineChars="58" w:firstLine="216"/>
        <w:rPr>
          <w:rFonts w:ascii="微软雅黑" w:eastAsia="微软雅黑" w:hAnsi="微软雅黑"/>
          <w:b/>
          <w:color w:val="FFFFFF" w:themeColor="background1"/>
          <w:spacing w:val="66"/>
          <w:sz w:val="24"/>
          <w:shd w:val="pct10" w:color="auto" w:fill="FFFFFF"/>
        </w:rPr>
      </w:pPr>
      <w:r>
        <w:rPr>
          <w:rFonts w:ascii="微软雅黑" w:eastAsia="微软雅黑" w:hAnsi="微软雅黑" w:hint="eastAsia"/>
          <w:b/>
          <w:color w:val="FFFFFF" w:themeColor="background1"/>
          <w:spacing w:val="66"/>
          <w:sz w:val="24"/>
          <w:highlight w:val="darkRed"/>
          <w:shd w:val="pct10" w:color="auto" w:fill="FFFFFF"/>
        </w:rPr>
        <w:t>创新课程体系</w:t>
      </w:r>
    </w:p>
    <w:p w:rsidR="002165C1" w:rsidRDefault="00B51A61">
      <w:pPr>
        <w:spacing w:line="360" w:lineRule="exact"/>
        <w:ind w:leftChars="-135" w:left="-283"/>
        <w:rPr>
          <w:rFonts w:ascii="微软雅黑" w:eastAsia="微软雅黑" w:hAnsi="微软雅黑"/>
          <w:b/>
          <w:color w:val="FFFFFF" w:themeColor="background1"/>
          <w:spacing w:val="60"/>
          <w:sz w:val="20"/>
          <w:szCs w:val="20"/>
        </w:rPr>
      </w:pPr>
      <w:r>
        <w:rPr>
          <w:rFonts w:ascii="微软雅黑" w:eastAsia="微软雅黑" w:hAnsi="微软雅黑"/>
          <w:b/>
          <w:color w:val="FFFFFF" w:themeColor="background1"/>
          <w:spacing w:val="60"/>
          <w:sz w:val="20"/>
          <w:szCs w:val="20"/>
        </w:rPr>
        <w:pict>
          <v:rect id="_x0000_s1062" style="position:absolute;left:0;text-align:left;margin-left:-17.6pt;margin-top:1.45pt;width:178.05pt;height:18.5pt;z-index:-251621376" fillcolor="#810505" stroked="f">
            <w10:anchorlock/>
          </v:rect>
        </w:pict>
      </w:r>
      <w:r w:rsidR="00232AE8">
        <w:rPr>
          <w:rFonts w:ascii="微软雅黑" w:eastAsia="微软雅黑" w:hAnsi="微软雅黑" w:hint="eastAsia"/>
          <w:b/>
          <w:color w:val="FFFFFF" w:themeColor="background1"/>
          <w:spacing w:val="60"/>
          <w:sz w:val="20"/>
          <w:szCs w:val="20"/>
        </w:rPr>
        <w:t xml:space="preserve">  —— 引领教育新时代</w:t>
      </w:r>
    </w:p>
    <w:p w:rsidR="002165C1" w:rsidRDefault="002165C1">
      <w:pPr>
        <w:spacing w:line="360" w:lineRule="exact"/>
        <w:ind w:leftChars="-135" w:left="-283"/>
        <w:rPr>
          <w:rFonts w:ascii="微软雅黑" w:eastAsia="微软雅黑" w:hAnsi="微软雅黑"/>
          <w:color w:val="FFFFFF" w:themeColor="background1"/>
          <w:spacing w:val="60"/>
          <w:sz w:val="20"/>
          <w:szCs w:val="20"/>
        </w:rPr>
      </w:pPr>
    </w:p>
    <w:tbl>
      <w:tblPr>
        <w:tblW w:w="9359" w:type="dxa"/>
        <w:jc w:val="center"/>
        <w:tblInd w:w="-518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A0"/>
      </w:tblPr>
      <w:tblGrid>
        <w:gridCol w:w="4679"/>
        <w:gridCol w:w="4680"/>
      </w:tblGrid>
      <w:tr w:rsidR="002165C1">
        <w:trPr>
          <w:trHeight w:val="402"/>
          <w:jc w:val="center"/>
        </w:trPr>
        <w:tc>
          <w:tcPr>
            <w:tcW w:w="9359" w:type="dxa"/>
            <w:gridSpan w:val="2"/>
            <w:shd w:val="pct20" w:color="000000" w:fill="FFFFFF"/>
          </w:tcPr>
          <w:p w:rsidR="002165C1" w:rsidRDefault="00232AE8">
            <w:pPr>
              <w:spacing w:line="420" w:lineRule="exact"/>
              <w:outlineLvl w:val="0"/>
              <w:rPr>
                <w:rFonts w:ascii="微软雅黑" w:eastAsia="微软雅黑" w:hAnsi="微软雅黑" w:cs="Arial"/>
                <w:b/>
                <w:bCs/>
                <w:color w:val="0D0D0D"/>
                <w:spacing w:val="30"/>
                <w:sz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lastRenderedPageBreak/>
              <w:t>一、"新常态"下的经济与金融环境</w:t>
            </w:r>
          </w:p>
        </w:tc>
      </w:tr>
      <w:tr w:rsidR="002165C1">
        <w:trPr>
          <w:trHeight w:val="394"/>
          <w:jc w:val="center"/>
        </w:trPr>
        <w:tc>
          <w:tcPr>
            <w:tcW w:w="4679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第一模块：“新常态”下的金融形势与热点</w:t>
            </w:r>
          </w:p>
        </w:tc>
        <w:tc>
          <w:tcPr>
            <w:tcW w:w="4680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第二模块：中国经济新机遇与挑战</w:t>
            </w:r>
          </w:p>
        </w:tc>
      </w:tr>
      <w:tr w:rsidR="002165C1">
        <w:trPr>
          <w:trHeight w:val="806"/>
          <w:jc w:val="center"/>
        </w:trPr>
        <w:tc>
          <w:tcPr>
            <w:tcW w:w="4679" w:type="dxa"/>
            <w:shd w:val="clear" w:color="auto" w:fill="F2F2F2"/>
          </w:tcPr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1.“新常态”下的金融形势与热点</w:t>
            </w:r>
          </w:p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金融新动向</w:t>
            </w:r>
          </w:p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当前金融形势的分析与判断</w:t>
            </w:r>
          </w:p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宏观经济政策前瞻</w:t>
            </w:r>
          </w:p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5. 房地产市场解析</w:t>
            </w:r>
          </w:p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6. 证券市场解析</w:t>
            </w:r>
          </w:p>
        </w:tc>
        <w:tc>
          <w:tcPr>
            <w:tcW w:w="4680" w:type="dxa"/>
            <w:shd w:val="clear" w:color="auto" w:fill="F2F2F2"/>
          </w:tcPr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中国经济难题与中国经济趋势</w:t>
            </w:r>
          </w:p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中国最根本的出路</w:t>
            </w:r>
          </w:p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中国经济新引擎</w:t>
            </w:r>
          </w:p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新土地制度改革</w:t>
            </w:r>
          </w:p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5. 十三五规划：战略新兴产业　</w:t>
            </w:r>
          </w:p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6. 人民币国际化</w:t>
            </w:r>
          </w:p>
        </w:tc>
      </w:tr>
      <w:tr w:rsidR="002165C1">
        <w:trPr>
          <w:trHeight w:val="338"/>
          <w:jc w:val="center"/>
        </w:trPr>
        <w:tc>
          <w:tcPr>
            <w:tcW w:w="9359" w:type="dxa"/>
            <w:gridSpan w:val="2"/>
            <w:tcBorders>
              <w:bottom w:val="single" w:sz="18" w:space="0" w:color="FFFFFF"/>
            </w:tcBorders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第三模块：中国经济大趋势</w:t>
            </w:r>
          </w:p>
        </w:tc>
      </w:tr>
      <w:tr w:rsidR="002165C1">
        <w:trPr>
          <w:trHeight w:val="866"/>
          <w:jc w:val="center"/>
        </w:trPr>
        <w:tc>
          <w:tcPr>
            <w:tcW w:w="4679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F2F2F2"/>
          </w:tcPr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为什么会有经济增长</w:t>
            </w:r>
          </w:p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中国经济奇迹与世界经济的结构变动</w:t>
            </w:r>
          </w:p>
        </w:tc>
        <w:tc>
          <w:tcPr>
            <w:tcW w:w="4680" w:type="dxa"/>
            <w:tcBorders>
              <w:top w:val="single" w:sz="18" w:space="0" w:color="FFFFFF"/>
              <w:left w:val="nil"/>
              <w:bottom w:val="single" w:sz="18" w:space="0" w:color="FFFFFF"/>
            </w:tcBorders>
            <w:shd w:val="clear" w:color="auto" w:fill="F2F2F2"/>
          </w:tcPr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中国的经济奇迹能否持续</w:t>
            </w:r>
          </w:p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十八大后的中国经济</w:t>
            </w:r>
          </w:p>
        </w:tc>
      </w:tr>
      <w:tr w:rsidR="002165C1">
        <w:trPr>
          <w:trHeight w:val="417"/>
          <w:jc w:val="center"/>
        </w:trPr>
        <w:tc>
          <w:tcPr>
            <w:tcW w:w="9359" w:type="dxa"/>
            <w:gridSpan w:val="2"/>
            <w:tcBorders>
              <w:top w:val="single" w:sz="18" w:space="0" w:color="FFFFFF"/>
            </w:tcBorders>
            <w:shd w:val="clear" w:color="auto" w:fill="CCCCCC"/>
          </w:tcPr>
          <w:p w:rsidR="002165C1" w:rsidRDefault="00232AE8">
            <w:pPr>
              <w:spacing w:line="42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 xml:space="preserve">二、财务运作与投融资决策  </w:t>
            </w:r>
          </w:p>
        </w:tc>
      </w:tr>
      <w:tr w:rsidR="002165C1">
        <w:trPr>
          <w:trHeight w:val="491"/>
          <w:jc w:val="center"/>
        </w:trPr>
        <w:tc>
          <w:tcPr>
            <w:tcW w:w="4679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第一模块：财务分析与财务运作</w:t>
            </w:r>
          </w:p>
        </w:tc>
        <w:tc>
          <w:tcPr>
            <w:tcW w:w="4680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第二模块：财务战略与资本结构</w:t>
            </w:r>
          </w:p>
        </w:tc>
      </w:tr>
      <w:tr w:rsidR="002165C1">
        <w:trPr>
          <w:trHeight w:val="1507"/>
          <w:jc w:val="center"/>
        </w:trPr>
        <w:tc>
          <w:tcPr>
            <w:tcW w:w="4679" w:type="dxa"/>
            <w:shd w:val="clear" w:color="auto" w:fill="F2F2F2"/>
          </w:tcPr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企业财务结构与营运资本分析</w:t>
            </w:r>
          </w:p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财务运作的内部控制　</w:t>
            </w:r>
          </w:p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融资的选择与企业资金运作</w:t>
            </w:r>
          </w:p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企业财务运作体系</w:t>
            </w:r>
          </w:p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5. 现金流量管理</w:t>
            </w:r>
          </w:p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6. 集团财务管控</w:t>
            </w:r>
          </w:p>
        </w:tc>
        <w:tc>
          <w:tcPr>
            <w:tcW w:w="4680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 竞争战略与财务战略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财务战略策略类型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财务战略与最佳资本结构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夹层融资与双重股权制</w:t>
            </w:r>
          </w:p>
          <w:p w:rsidR="002165C1" w:rsidRDefault="00232AE8">
            <w:pPr>
              <w:tabs>
                <w:tab w:val="left" w:pos="4860"/>
              </w:tabs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5. 营销战略、融资战略与财务战略的匹配       </w:t>
            </w:r>
          </w:p>
        </w:tc>
      </w:tr>
      <w:tr w:rsidR="002165C1">
        <w:trPr>
          <w:trHeight w:val="97"/>
          <w:jc w:val="center"/>
        </w:trPr>
        <w:tc>
          <w:tcPr>
            <w:tcW w:w="4679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第三模块：会计政策与价值创造</w:t>
            </w:r>
          </w:p>
        </w:tc>
        <w:tc>
          <w:tcPr>
            <w:tcW w:w="4680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第四模块：资本经营与投融资风险管控分析</w:t>
            </w:r>
          </w:p>
        </w:tc>
      </w:tr>
      <w:tr w:rsidR="002165C1">
        <w:trPr>
          <w:trHeight w:val="97"/>
          <w:jc w:val="center"/>
        </w:trPr>
        <w:tc>
          <w:tcPr>
            <w:tcW w:w="4679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 财务会计的典型问题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管理会计的典型问题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财务管理的典型问题　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财务报表的外部使用方法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5. 妙用企业会计准则价值创造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6. 案例详解二十个重点会计准则　</w:t>
            </w:r>
          </w:p>
        </w:tc>
        <w:tc>
          <w:tcPr>
            <w:tcW w:w="4680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资本经营的目的与意义　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资本经营的方向选择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过剩行业与成长行业的机会把握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银行主渠道、非银行机构与私募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5. 基金、企业债、短期融资券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6. 资本经营的风险管控</w:t>
            </w:r>
          </w:p>
        </w:tc>
      </w:tr>
      <w:tr w:rsidR="002165C1">
        <w:trPr>
          <w:trHeight w:val="436"/>
          <w:jc w:val="center"/>
        </w:trPr>
        <w:tc>
          <w:tcPr>
            <w:tcW w:w="9359" w:type="dxa"/>
            <w:gridSpan w:val="2"/>
            <w:shd w:val="pct20" w:color="000000" w:fill="FFFFFF"/>
          </w:tcPr>
          <w:p w:rsidR="002165C1" w:rsidRDefault="00232AE8">
            <w:pPr>
              <w:spacing w:line="42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三、金融投资与财富管理</w:t>
            </w:r>
          </w:p>
        </w:tc>
      </w:tr>
      <w:tr w:rsidR="002165C1">
        <w:trPr>
          <w:trHeight w:val="418"/>
          <w:jc w:val="center"/>
        </w:trPr>
        <w:tc>
          <w:tcPr>
            <w:tcW w:w="4679" w:type="dxa"/>
            <w:shd w:val="pct5" w:color="000000" w:fill="FFFFFF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第一模块：金融市场与组合投资</w:t>
            </w:r>
          </w:p>
        </w:tc>
        <w:tc>
          <w:tcPr>
            <w:tcW w:w="4680" w:type="dxa"/>
            <w:shd w:val="pct5" w:color="000000" w:fill="FFFFFF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第二模块：大周期背景下的金融投资与风险管理</w:t>
            </w:r>
          </w:p>
        </w:tc>
      </w:tr>
      <w:tr w:rsidR="002165C1">
        <w:trPr>
          <w:trHeight w:val="1926"/>
          <w:jc w:val="center"/>
        </w:trPr>
        <w:tc>
          <w:tcPr>
            <w:tcW w:w="4679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>1. 金融市场的作用、分类与监管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货币市场与企业融资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股票市场与投资策略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4. 金融衍生品市场与投资策略　　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5. 组合投资与共同基金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6. 中国特色的金融市场与投资策略</w:t>
            </w:r>
          </w:p>
        </w:tc>
        <w:tc>
          <w:tcPr>
            <w:tcW w:w="4680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 大周期视角下的美国股票市场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大周期视角下的贵金属市场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经济与金融中长期趋势分析与预测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大周期视角下的投资策略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5. 金融衍生品与风险管理案例分析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6. 十二条郑氏投资定律</w:t>
            </w:r>
          </w:p>
        </w:tc>
      </w:tr>
      <w:tr w:rsidR="002165C1">
        <w:trPr>
          <w:trHeight w:val="454"/>
          <w:jc w:val="center"/>
        </w:trPr>
        <w:tc>
          <w:tcPr>
            <w:tcW w:w="4679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第三模块：离岸金融与跨境投融资操作实务</w:t>
            </w:r>
          </w:p>
        </w:tc>
        <w:tc>
          <w:tcPr>
            <w:tcW w:w="4680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第四模块：互联网金融</w:t>
            </w:r>
          </w:p>
        </w:tc>
      </w:tr>
      <w:tr w:rsidR="002165C1">
        <w:trPr>
          <w:trHeight w:val="454"/>
          <w:jc w:val="center"/>
        </w:trPr>
        <w:tc>
          <w:tcPr>
            <w:tcW w:w="4679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 资产离岸转移与境外融资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离岸贸易与税务筹划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离岸信托与海外资金借贷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离岸金融账户与离岸银行业务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5. 离岸操作与跨境融资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6. 人民币离岸港、跨境贸易与融资平台</w:t>
            </w:r>
          </w:p>
        </w:tc>
        <w:tc>
          <w:tcPr>
            <w:tcW w:w="4680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互联网金融与金融互联网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产品（P2P、众筹、第三方支付等）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互联网金融的风险管控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互联网金融创新模式</w:t>
            </w:r>
          </w:p>
        </w:tc>
      </w:tr>
      <w:tr w:rsidR="002165C1">
        <w:trPr>
          <w:trHeight w:val="454"/>
          <w:jc w:val="center"/>
        </w:trPr>
        <w:tc>
          <w:tcPr>
            <w:tcW w:w="4679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第五模块：供应链金融创新</w:t>
            </w:r>
          </w:p>
        </w:tc>
        <w:tc>
          <w:tcPr>
            <w:tcW w:w="4680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第六模块：财富管理与家族资产传承</w:t>
            </w:r>
          </w:p>
        </w:tc>
      </w:tr>
      <w:tr w:rsidR="002165C1">
        <w:trPr>
          <w:trHeight w:val="454"/>
          <w:jc w:val="center"/>
        </w:trPr>
        <w:tc>
          <w:tcPr>
            <w:tcW w:w="4679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供应链金融改变传统创立新融资模式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海外供应链金融机构与市场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供应链金融与中小企业融资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供应链环境下的融资担保及保险</w:t>
            </w:r>
          </w:p>
        </w:tc>
        <w:tc>
          <w:tcPr>
            <w:tcW w:w="4680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 财富管理新思维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全球资产配置：渠道与方法　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家族资产信托与家族企业治理</w:t>
            </w:r>
          </w:p>
        </w:tc>
      </w:tr>
      <w:tr w:rsidR="002165C1">
        <w:trPr>
          <w:trHeight w:val="572"/>
          <w:jc w:val="center"/>
        </w:trPr>
        <w:tc>
          <w:tcPr>
            <w:tcW w:w="9359" w:type="dxa"/>
            <w:gridSpan w:val="2"/>
            <w:shd w:val="clear" w:color="auto" w:fill="CCCCCC"/>
            <w:vAlign w:val="center"/>
          </w:tcPr>
          <w:p w:rsidR="002165C1" w:rsidRDefault="00232AE8">
            <w:pPr>
              <w:spacing w:line="42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四、私募股权投资</w:t>
            </w:r>
          </w:p>
        </w:tc>
      </w:tr>
      <w:tr w:rsidR="002165C1">
        <w:trPr>
          <w:trHeight w:val="439"/>
          <w:jc w:val="center"/>
        </w:trPr>
        <w:tc>
          <w:tcPr>
            <w:tcW w:w="4679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第一模块：风险投资</w:t>
            </w:r>
          </w:p>
        </w:tc>
        <w:tc>
          <w:tcPr>
            <w:tcW w:w="4680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第二模块：私募股权投资的管理流程</w:t>
            </w:r>
          </w:p>
        </w:tc>
      </w:tr>
      <w:tr w:rsidR="002165C1">
        <w:trPr>
          <w:trHeight w:val="572"/>
          <w:jc w:val="center"/>
        </w:trPr>
        <w:tc>
          <w:tcPr>
            <w:tcW w:w="4679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 金融危机背景下看风险投资价值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VC/PE金融经济价值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VC/PE的创新及国家创新体系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美国的经验及对中国的启示</w:t>
            </w:r>
          </w:p>
        </w:tc>
        <w:tc>
          <w:tcPr>
            <w:tcW w:w="4680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 私募股权基金的筹建、设立与管理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私募管权基金的投资模式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私募股权基金治理模式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私募股权基金的会计与税务体系</w:t>
            </w:r>
          </w:p>
        </w:tc>
      </w:tr>
      <w:tr w:rsidR="002165C1">
        <w:trPr>
          <w:trHeight w:val="572"/>
          <w:jc w:val="center"/>
        </w:trPr>
        <w:tc>
          <w:tcPr>
            <w:tcW w:w="4679" w:type="dxa"/>
            <w:shd w:val="clear" w:color="auto" w:fill="F2F2F2"/>
            <w:vAlign w:val="center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第三模块：私募股权投资的三大核心能力</w:t>
            </w:r>
          </w:p>
        </w:tc>
        <w:tc>
          <w:tcPr>
            <w:tcW w:w="4680" w:type="dxa"/>
            <w:shd w:val="clear" w:color="auto" w:fill="F2F2F2"/>
            <w:vAlign w:val="center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第四模块：私募股权投资如何提升企业价值</w:t>
            </w:r>
          </w:p>
        </w:tc>
      </w:tr>
      <w:tr w:rsidR="002165C1">
        <w:trPr>
          <w:trHeight w:val="572"/>
          <w:jc w:val="center"/>
        </w:trPr>
        <w:tc>
          <w:tcPr>
            <w:tcW w:w="4679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 股权基金的融资渠道与方法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股权投资的项目开发、评估与组合管理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投资项目的退出管理：上市、转让与回购</w:t>
            </w:r>
          </w:p>
        </w:tc>
        <w:tc>
          <w:tcPr>
            <w:tcW w:w="4680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 商业模式与企业估值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通过资源整合提升企业经营价值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通过改善公司治理提升企业价值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通过资本运作提升企业价值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5. 传导企业价值</w:t>
            </w:r>
          </w:p>
        </w:tc>
      </w:tr>
      <w:tr w:rsidR="002165C1">
        <w:trPr>
          <w:trHeight w:val="572"/>
          <w:jc w:val="center"/>
        </w:trPr>
        <w:tc>
          <w:tcPr>
            <w:tcW w:w="9359" w:type="dxa"/>
            <w:gridSpan w:val="2"/>
            <w:shd w:val="pct20" w:color="000000" w:fill="FFFFFF"/>
            <w:vAlign w:val="center"/>
          </w:tcPr>
          <w:p w:rsidR="002165C1" w:rsidRDefault="00232AE8">
            <w:pPr>
              <w:spacing w:line="42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lastRenderedPageBreak/>
              <w:t>五、企业上市实务</w:t>
            </w:r>
          </w:p>
        </w:tc>
      </w:tr>
      <w:tr w:rsidR="002165C1">
        <w:trPr>
          <w:trHeight w:val="482"/>
          <w:jc w:val="center"/>
        </w:trPr>
        <w:tc>
          <w:tcPr>
            <w:tcW w:w="4679" w:type="dxa"/>
            <w:shd w:val="pct5" w:color="000000" w:fill="FFFFFF"/>
            <w:vAlign w:val="center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第一模块：多层次资本市场</w:t>
            </w:r>
          </w:p>
        </w:tc>
        <w:tc>
          <w:tcPr>
            <w:tcW w:w="4680" w:type="dxa"/>
            <w:shd w:val="pct5" w:color="000000" w:fill="FFFFFF"/>
            <w:vAlign w:val="center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第二模块：资产证券化与投资银行</w:t>
            </w:r>
          </w:p>
        </w:tc>
      </w:tr>
      <w:tr w:rsidR="002165C1">
        <w:trPr>
          <w:trHeight w:val="572"/>
          <w:jc w:val="center"/>
        </w:trPr>
        <w:tc>
          <w:tcPr>
            <w:tcW w:w="4679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 多层次资本市场体系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中国资本市场的深化改革</w:t>
            </w:r>
          </w:p>
        </w:tc>
        <w:tc>
          <w:tcPr>
            <w:tcW w:w="4680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 资产证券化：主体、一般流程、易出现的风险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资产证券化的八大要素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投资银行的业务范围及特点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投资银行的功能以及与商业银行的区别</w:t>
            </w:r>
          </w:p>
        </w:tc>
      </w:tr>
      <w:tr w:rsidR="002165C1">
        <w:trPr>
          <w:trHeight w:val="346"/>
          <w:jc w:val="center"/>
        </w:trPr>
        <w:tc>
          <w:tcPr>
            <w:tcW w:w="9359" w:type="dxa"/>
            <w:gridSpan w:val="2"/>
            <w:shd w:val="clear" w:color="auto" w:fill="F2F2F2"/>
            <w:vAlign w:val="center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第三模块：上市流程与策略——主板、创业板、新三板与战略新兴板等</w:t>
            </w:r>
          </w:p>
        </w:tc>
      </w:tr>
      <w:tr w:rsidR="002165C1">
        <w:trPr>
          <w:trHeight w:val="572"/>
          <w:jc w:val="center"/>
        </w:trPr>
        <w:tc>
          <w:tcPr>
            <w:tcW w:w="9359" w:type="dxa"/>
            <w:gridSpan w:val="2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上市流程的关键阶段：预备期、改制期、辅导期、申请期、挂牌期各关键阶段的相应策略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上市改制中的财务问题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上市改制中的法律问题</w:t>
            </w:r>
          </w:p>
        </w:tc>
      </w:tr>
      <w:tr w:rsidR="002165C1">
        <w:trPr>
          <w:trHeight w:val="572"/>
          <w:jc w:val="center"/>
        </w:trPr>
        <w:tc>
          <w:tcPr>
            <w:tcW w:w="9359" w:type="dxa"/>
            <w:gridSpan w:val="2"/>
            <w:shd w:val="clear" w:color="auto" w:fill="CCCCCC"/>
            <w:vAlign w:val="center"/>
          </w:tcPr>
          <w:p w:rsidR="002165C1" w:rsidRDefault="00232AE8">
            <w:pPr>
              <w:spacing w:line="42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六、公司治理与资本运作</w:t>
            </w:r>
          </w:p>
        </w:tc>
      </w:tr>
      <w:tr w:rsidR="002165C1">
        <w:trPr>
          <w:trHeight w:val="468"/>
          <w:jc w:val="center"/>
        </w:trPr>
        <w:tc>
          <w:tcPr>
            <w:tcW w:w="4679" w:type="dxa"/>
            <w:shd w:val="clear" w:color="auto" w:fill="F2F2F2"/>
            <w:vAlign w:val="center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第一模块：控制权争夺与股权激励</w:t>
            </w:r>
          </w:p>
        </w:tc>
        <w:tc>
          <w:tcPr>
            <w:tcW w:w="4680" w:type="dxa"/>
            <w:shd w:val="clear" w:color="auto" w:fill="F2F2F2"/>
            <w:vAlign w:val="center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第二模块：企业成长极限突破与产业链整合</w:t>
            </w:r>
          </w:p>
        </w:tc>
      </w:tr>
      <w:tr w:rsidR="002165C1">
        <w:trPr>
          <w:trHeight w:val="1548"/>
          <w:jc w:val="center"/>
        </w:trPr>
        <w:tc>
          <w:tcPr>
            <w:tcW w:w="4679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公司治理的核心问题　　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公司治理的三个基本原则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如何构建高效的董事会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激励机制与经理人报酬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5. 长期激励性报酬实践与案例　</w:t>
            </w:r>
          </w:p>
        </w:tc>
        <w:tc>
          <w:tcPr>
            <w:tcW w:w="4680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中国企业成长的五大挑战　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现代企业的成长极限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成长极限突破的要求　　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成长极限突破的方向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5. 产业整合与公司管控模式　　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6. 产业整合策略</w:t>
            </w:r>
          </w:p>
        </w:tc>
      </w:tr>
      <w:tr w:rsidR="002165C1">
        <w:trPr>
          <w:trHeight w:val="430"/>
          <w:jc w:val="center"/>
        </w:trPr>
        <w:tc>
          <w:tcPr>
            <w:tcW w:w="9359" w:type="dxa"/>
            <w:gridSpan w:val="2"/>
            <w:tcBorders>
              <w:bottom w:val="single" w:sz="18" w:space="0" w:color="FFFFFF"/>
            </w:tcBorders>
            <w:shd w:val="clear" w:color="auto" w:fill="F2F2F2"/>
            <w:vAlign w:val="center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第三模块：兼并收购与资本运作</w:t>
            </w:r>
          </w:p>
        </w:tc>
      </w:tr>
      <w:tr w:rsidR="002165C1">
        <w:trPr>
          <w:trHeight w:val="572"/>
          <w:jc w:val="center"/>
        </w:trPr>
        <w:tc>
          <w:tcPr>
            <w:tcW w:w="4679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资本运作与企业跨越式发展 　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并购方式与操作要点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并购与融资安排　　</w:t>
            </w:r>
          </w:p>
        </w:tc>
        <w:tc>
          <w:tcPr>
            <w:tcW w:w="4680" w:type="dxa"/>
            <w:tcBorders>
              <w:top w:val="single" w:sz="18" w:space="0" w:color="FFFFFF"/>
              <w:left w:val="nil"/>
              <w:bottom w:val="single" w:sz="18" w:space="0" w:color="FFFFFF"/>
            </w:tcBorders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并购与反并购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5. 上市公司的并购策略　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6. 海外并购</w:t>
            </w:r>
          </w:p>
        </w:tc>
      </w:tr>
      <w:tr w:rsidR="002165C1">
        <w:trPr>
          <w:trHeight w:val="572"/>
          <w:jc w:val="center"/>
        </w:trPr>
        <w:tc>
          <w:tcPr>
            <w:tcW w:w="9359" w:type="dxa"/>
            <w:gridSpan w:val="2"/>
            <w:tcBorders>
              <w:top w:val="single" w:sz="18" w:space="0" w:color="FFFFFF"/>
            </w:tcBorders>
            <w:shd w:val="pct20" w:color="000000" w:fill="FFFFFF"/>
            <w:vAlign w:val="center"/>
          </w:tcPr>
          <w:p w:rsidR="002165C1" w:rsidRDefault="00232AE8">
            <w:pPr>
              <w:spacing w:line="42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七、商业模式设计与创新</w:t>
            </w:r>
          </w:p>
        </w:tc>
      </w:tr>
      <w:tr w:rsidR="002165C1">
        <w:trPr>
          <w:trHeight w:val="408"/>
          <w:jc w:val="center"/>
        </w:trPr>
        <w:tc>
          <w:tcPr>
            <w:tcW w:w="4679" w:type="dxa"/>
            <w:shd w:val="pct5" w:color="000000" w:fill="FFFFFF"/>
            <w:vAlign w:val="center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第一模块：商业模式体系建立</w:t>
            </w:r>
          </w:p>
        </w:tc>
        <w:tc>
          <w:tcPr>
            <w:tcW w:w="4680" w:type="dxa"/>
            <w:shd w:val="pct5" w:color="000000" w:fill="FFFFFF"/>
            <w:vAlign w:val="center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第二模块：商业模式盈利预测</w:t>
            </w:r>
          </w:p>
        </w:tc>
      </w:tr>
      <w:tr w:rsidR="002165C1">
        <w:trPr>
          <w:trHeight w:val="572"/>
          <w:jc w:val="center"/>
        </w:trPr>
        <w:tc>
          <w:tcPr>
            <w:tcW w:w="4679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 商业模式与行业发展层级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商业模式与企业定位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商业模式与竞争战略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商业模式的评价标准与体系建立</w:t>
            </w:r>
          </w:p>
        </w:tc>
        <w:tc>
          <w:tcPr>
            <w:tcW w:w="4680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 商业模式赢利支撑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资本市场的商业模式偏好 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商业模式的财税保障战略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商业模式的盈利评估与分析</w:t>
            </w:r>
          </w:p>
        </w:tc>
      </w:tr>
      <w:tr w:rsidR="002165C1">
        <w:trPr>
          <w:trHeight w:val="489"/>
          <w:jc w:val="center"/>
        </w:trPr>
        <w:tc>
          <w:tcPr>
            <w:tcW w:w="4679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第三模块：商业模式创新与变革</w:t>
            </w:r>
          </w:p>
        </w:tc>
        <w:tc>
          <w:tcPr>
            <w:tcW w:w="4680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第四模块：商业模式与公司制度</w:t>
            </w:r>
          </w:p>
        </w:tc>
      </w:tr>
      <w:tr w:rsidR="002165C1">
        <w:trPr>
          <w:trHeight w:val="572"/>
          <w:jc w:val="center"/>
        </w:trPr>
        <w:tc>
          <w:tcPr>
            <w:tcW w:w="4679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>1. 商业模式与企业核心竞争力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互联网时代背景的下商业模式创新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商业模式的优化与实施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跟进、独创产品、专业化商业模式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5. 模式变革的内部风险与管控</w:t>
            </w:r>
          </w:p>
        </w:tc>
        <w:tc>
          <w:tcPr>
            <w:tcW w:w="4680" w:type="dxa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1. 商业模式设计的理念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2. 商业模式与企业制度设计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3. 构建商业模式下的管理制度要点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4. 文化传承与商业模式变革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5. 领导者理念与商业模式</w:t>
            </w:r>
          </w:p>
        </w:tc>
      </w:tr>
      <w:tr w:rsidR="002165C1">
        <w:trPr>
          <w:trHeight w:val="572"/>
          <w:jc w:val="center"/>
        </w:trPr>
        <w:tc>
          <w:tcPr>
            <w:tcW w:w="9359" w:type="dxa"/>
            <w:gridSpan w:val="2"/>
            <w:shd w:val="clear" w:color="auto" w:fill="CCCCCC"/>
            <w:vAlign w:val="center"/>
          </w:tcPr>
          <w:p w:rsidR="002165C1" w:rsidRDefault="00232AE8">
            <w:pPr>
              <w:spacing w:line="42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八、特色选修——毕业旅行之海外游学</w:t>
            </w:r>
          </w:p>
        </w:tc>
      </w:tr>
      <w:tr w:rsidR="002165C1">
        <w:trPr>
          <w:trHeight w:val="572"/>
          <w:jc w:val="center"/>
        </w:trPr>
        <w:tc>
          <w:tcPr>
            <w:tcW w:w="9359" w:type="dxa"/>
            <w:gridSpan w:val="2"/>
            <w:shd w:val="clear" w:color="auto" w:fill="F2F2F2"/>
          </w:tcPr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探访创新之源：硅谷（谷歌、苹果等）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走进金融中心：纽交所、纳斯达克、摩根、高盛、 花旗等金融机构</w:t>
            </w:r>
          </w:p>
          <w:p w:rsidR="002165C1" w:rsidRDefault="00232AE8">
            <w:pPr>
              <w:spacing w:line="42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Cs w:val="21"/>
              </w:rPr>
              <w:t>感受知识殿堂：哈佛、MIT、斯坦福等顶级学府</w:t>
            </w:r>
          </w:p>
        </w:tc>
      </w:tr>
    </w:tbl>
    <w:p w:rsidR="002165C1" w:rsidRDefault="002165C1">
      <w:pPr>
        <w:rPr>
          <w:rFonts w:ascii="微软雅黑" w:eastAsia="微软雅黑" w:hAnsi="微软雅黑"/>
          <w:b/>
          <w:sz w:val="28"/>
          <w:szCs w:val="28"/>
        </w:rPr>
      </w:pPr>
    </w:p>
    <w:p w:rsidR="002165C1" w:rsidRDefault="00232AE8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我们的老师</w:t>
      </w:r>
    </w:p>
    <w:p w:rsidR="002165C1" w:rsidRDefault="00B51A61">
      <w:pPr>
        <w:ind w:leftChars="-270" w:left="-567" w:firstLineChars="58" w:firstLine="122"/>
        <w:rPr>
          <w:rFonts w:ascii="微软雅黑" w:eastAsia="微软雅黑" w:hAnsi="微软雅黑"/>
          <w:b/>
          <w:sz w:val="24"/>
        </w:rPr>
      </w:pPr>
      <w:r w:rsidRPr="00B51A61">
        <w:rPr>
          <w:rFonts w:ascii="微软雅黑" w:eastAsia="微软雅黑" w:hAnsi="微软雅黑"/>
          <w:color w:val="262626" w:themeColor="text1" w:themeTint="D9"/>
        </w:rPr>
        <w:pict>
          <v:rect id="_x0000_s1055" style="position:absolute;left:0;text-align:left;margin-left:161.05pt;margin-top:5.9pt;width:85.05pt;height:3.55pt;z-index:251687936" fillcolor="#c00000" stroked="f">
            <w10:anchorlock/>
          </v:rect>
        </w:pict>
      </w:r>
      <w:r w:rsidRPr="00B51A61">
        <w:rPr>
          <w:rFonts w:ascii="微软雅黑" w:eastAsia="微软雅黑" w:hAnsi="微软雅黑"/>
          <w:b/>
          <w:sz w:val="28"/>
          <w:szCs w:val="28"/>
        </w:rPr>
        <w:pict>
          <v:shape id="_x0000_s1054" type="#_x0000_t32" style="position:absolute;left:0;text-align:left;margin-left:-22.85pt;margin-top:7.2pt;width:448.5pt;height:0;z-index:251686912" o:connectortype="straight" strokecolor="#c00000">
            <w10:anchorlock/>
          </v:shape>
        </w:pict>
      </w:r>
    </w:p>
    <w:p w:rsidR="002165C1" w:rsidRDefault="00232AE8">
      <w:pPr>
        <w:spacing w:line="400" w:lineRule="exact"/>
        <w:ind w:leftChars="-202" w:left="-424"/>
        <w:rPr>
          <w:rFonts w:ascii="微软雅黑" w:eastAsia="微软雅黑" w:hAnsi="微软雅黑"/>
          <w:b/>
          <w:color w:val="FFFFFF" w:themeColor="background1"/>
          <w:spacing w:val="36"/>
          <w:sz w:val="32"/>
          <w:szCs w:val="32"/>
        </w:rPr>
      </w:pPr>
      <w:r>
        <w:rPr>
          <w:rFonts w:ascii="微软雅黑" w:eastAsia="微软雅黑" w:hAnsi="微软雅黑"/>
          <w:b/>
          <w:noProof/>
          <w:color w:val="FFFFFF" w:themeColor="background1"/>
          <w:spacing w:val="36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125095</wp:posOffset>
            </wp:positionV>
            <wp:extent cx="5273040" cy="2724150"/>
            <wp:effectExtent l="19050" t="0" r="3810" b="0"/>
            <wp:wrapNone/>
            <wp:docPr id="12" name="图片 11" descr="师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师资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5C1" w:rsidRDefault="002165C1">
      <w:pPr>
        <w:ind w:leftChars="-270" w:left="-567"/>
        <w:rPr>
          <w:sz w:val="24"/>
        </w:rPr>
      </w:pPr>
    </w:p>
    <w:p w:rsidR="002165C1" w:rsidRDefault="002165C1">
      <w:pPr>
        <w:ind w:leftChars="-270" w:left="-567"/>
        <w:rPr>
          <w:sz w:val="24"/>
        </w:rPr>
      </w:pPr>
    </w:p>
    <w:p w:rsidR="002165C1" w:rsidRDefault="002165C1">
      <w:pPr>
        <w:ind w:leftChars="-270" w:left="-567"/>
        <w:rPr>
          <w:sz w:val="24"/>
        </w:rPr>
      </w:pPr>
    </w:p>
    <w:p w:rsidR="002165C1" w:rsidRDefault="002165C1">
      <w:pPr>
        <w:ind w:leftChars="-270" w:left="-567"/>
        <w:rPr>
          <w:sz w:val="24"/>
        </w:rPr>
      </w:pPr>
    </w:p>
    <w:p w:rsidR="002165C1" w:rsidRDefault="002165C1">
      <w:pPr>
        <w:ind w:leftChars="-270" w:left="-567"/>
        <w:rPr>
          <w:sz w:val="24"/>
        </w:rPr>
      </w:pPr>
    </w:p>
    <w:p w:rsidR="002165C1" w:rsidRDefault="002165C1">
      <w:pPr>
        <w:ind w:leftChars="-270" w:left="-567"/>
        <w:rPr>
          <w:sz w:val="24"/>
        </w:rPr>
      </w:pPr>
    </w:p>
    <w:p w:rsidR="002165C1" w:rsidRDefault="002165C1">
      <w:pPr>
        <w:ind w:leftChars="-270" w:left="-567"/>
        <w:rPr>
          <w:sz w:val="24"/>
        </w:rPr>
      </w:pPr>
    </w:p>
    <w:p w:rsidR="002165C1" w:rsidRDefault="002165C1">
      <w:pPr>
        <w:ind w:leftChars="-270" w:left="-567"/>
        <w:rPr>
          <w:sz w:val="24"/>
        </w:rPr>
      </w:pPr>
    </w:p>
    <w:p w:rsidR="002165C1" w:rsidRDefault="002165C1">
      <w:pPr>
        <w:ind w:leftChars="-270" w:left="-567"/>
        <w:rPr>
          <w:sz w:val="24"/>
        </w:rPr>
      </w:pPr>
    </w:p>
    <w:tbl>
      <w:tblPr>
        <w:tblStyle w:val="a6"/>
        <w:tblpPr w:leftFromText="180" w:rightFromText="180" w:vertAnchor="text" w:horzAnchor="margin" w:tblpXSpec="center" w:tblpY="1442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58"/>
        <w:gridCol w:w="141"/>
        <w:gridCol w:w="3969"/>
        <w:gridCol w:w="993"/>
        <w:gridCol w:w="3828"/>
      </w:tblGrid>
      <w:tr w:rsidR="002165C1">
        <w:tc>
          <w:tcPr>
            <w:tcW w:w="95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雎国余</w:t>
            </w:r>
          </w:p>
        </w:tc>
        <w:tc>
          <w:tcPr>
            <w:tcW w:w="4110" w:type="dxa"/>
            <w:gridSpan w:val="2"/>
            <w:vAlign w:val="center"/>
          </w:tcPr>
          <w:p w:rsidR="002165C1" w:rsidRDefault="00232AE8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北大经济学院原党委书记</w:t>
            </w:r>
          </w:p>
        </w:tc>
        <w:tc>
          <w:tcPr>
            <w:tcW w:w="993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陆满平</w:t>
            </w:r>
          </w:p>
        </w:tc>
        <w:tc>
          <w:tcPr>
            <w:tcW w:w="382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第一证券有限公司首席经济学家</w:t>
            </w:r>
          </w:p>
        </w:tc>
      </w:tr>
      <w:tr w:rsidR="002165C1">
        <w:tc>
          <w:tcPr>
            <w:tcW w:w="95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陈晋蓉</w:t>
            </w:r>
          </w:p>
        </w:tc>
        <w:tc>
          <w:tcPr>
            <w:tcW w:w="4110" w:type="dxa"/>
            <w:gridSpan w:val="2"/>
            <w:vAlign w:val="center"/>
          </w:tcPr>
          <w:p w:rsidR="002165C1" w:rsidRDefault="00232AE8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清华经济管理学院 兼职教授</w:t>
            </w:r>
          </w:p>
        </w:tc>
        <w:tc>
          <w:tcPr>
            <w:tcW w:w="993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张  勇</w:t>
            </w:r>
          </w:p>
        </w:tc>
        <w:tc>
          <w:tcPr>
            <w:tcW w:w="382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南开国际法法学研究所 所长</w:t>
            </w:r>
          </w:p>
        </w:tc>
      </w:tr>
      <w:tr w:rsidR="002165C1">
        <w:tc>
          <w:tcPr>
            <w:tcW w:w="95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刘娥平</w:t>
            </w:r>
          </w:p>
        </w:tc>
        <w:tc>
          <w:tcPr>
            <w:tcW w:w="4110" w:type="dxa"/>
            <w:gridSpan w:val="2"/>
            <w:vAlign w:val="center"/>
          </w:tcPr>
          <w:p w:rsidR="002165C1" w:rsidRDefault="00232AE8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中山大学 教授</w:t>
            </w:r>
          </w:p>
        </w:tc>
        <w:tc>
          <w:tcPr>
            <w:tcW w:w="993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贺  强</w:t>
            </w:r>
          </w:p>
        </w:tc>
        <w:tc>
          <w:tcPr>
            <w:tcW w:w="382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中央财经大学金融学院 教授</w:t>
            </w:r>
          </w:p>
        </w:tc>
      </w:tr>
      <w:tr w:rsidR="002165C1">
        <w:tc>
          <w:tcPr>
            <w:tcW w:w="1099" w:type="dxa"/>
            <w:gridSpan w:val="2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欧阳良宜</w:t>
            </w:r>
          </w:p>
        </w:tc>
        <w:tc>
          <w:tcPr>
            <w:tcW w:w="3969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北大汇丰商学院 副教授</w:t>
            </w:r>
          </w:p>
        </w:tc>
        <w:tc>
          <w:tcPr>
            <w:tcW w:w="993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房西苑</w:t>
            </w:r>
          </w:p>
        </w:tc>
        <w:tc>
          <w:tcPr>
            <w:tcW w:w="382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北大国情研究中心 研究员</w:t>
            </w:r>
          </w:p>
        </w:tc>
      </w:tr>
      <w:tr w:rsidR="002165C1">
        <w:tc>
          <w:tcPr>
            <w:tcW w:w="95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魏  炜</w:t>
            </w:r>
          </w:p>
        </w:tc>
        <w:tc>
          <w:tcPr>
            <w:tcW w:w="4110" w:type="dxa"/>
            <w:gridSpan w:val="2"/>
            <w:vAlign w:val="center"/>
          </w:tcPr>
          <w:p w:rsidR="002165C1" w:rsidRDefault="00232AE8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北大汇丰商学院 副院长</w:t>
            </w:r>
          </w:p>
        </w:tc>
        <w:tc>
          <w:tcPr>
            <w:tcW w:w="993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李  磊</w:t>
            </w:r>
          </w:p>
        </w:tc>
        <w:tc>
          <w:tcPr>
            <w:tcW w:w="382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华夏润石投资总裁兼合伙人</w:t>
            </w:r>
          </w:p>
        </w:tc>
      </w:tr>
      <w:tr w:rsidR="002165C1">
        <w:tc>
          <w:tcPr>
            <w:tcW w:w="95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冯  科</w:t>
            </w:r>
          </w:p>
        </w:tc>
        <w:tc>
          <w:tcPr>
            <w:tcW w:w="4110" w:type="dxa"/>
            <w:gridSpan w:val="2"/>
            <w:vAlign w:val="center"/>
          </w:tcPr>
          <w:p w:rsidR="002165C1" w:rsidRDefault="00232AE8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北京大学经济研究所 副所长</w:t>
            </w:r>
          </w:p>
        </w:tc>
        <w:tc>
          <w:tcPr>
            <w:tcW w:w="993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黄  嵩</w:t>
            </w:r>
          </w:p>
        </w:tc>
        <w:tc>
          <w:tcPr>
            <w:tcW w:w="382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北大金融与产业发展研究中心 秘书长</w:t>
            </w:r>
          </w:p>
        </w:tc>
      </w:tr>
      <w:tr w:rsidR="002165C1">
        <w:trPr>
          <w:trHeight w:val="384"/>
        </w:trPr>
        <w:tc>
          <w:tcPr>
            <w:tcW w:w="95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姚景源</w:t>
            </w:r>
          </w:p>
        </w:tc>
        <w:tc>
          <w:tcPr>
            <w:tcW w:w="4110" w:type="dxa"/>
            <w:gridSpan w:val="2"/>
            <w:vAlign w:val="center"/>
          </w:tcPr>
          <w:p w:rsidR="002165C1" w:rsidRDefault="00232AE8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国家统计局 总经济师</w:t>
            </w:r>
          </w:p>
        </w:tc>
        <w:tc>
          <w:tcPr>
            <w:tcW w:w="993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贺正生</w:t>
            </w:r>
          </w:p>
        </w:tc>
        <w:tc>
          <w:tcPr>
            <w:tcW w:w="382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宁波康强电子股份有限公司 董事</w:t>
            </w:r>
          </w:p>
        </w:tc>
      </w:tr>
      <w:tr w:rsidR="002165C1">
        <w:tc>
          <w:tcPr>
            <w:tcW w:w="95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孟晓苏</w:t>
            </w:r>
          </w:p>
        </w:tc>
        <w:tc>
          <w:tcPr>
            <w:tcW w:w="4110" w:type="dxa"/>
            <w:gridSpan w:val="2"/>
            <w:vAlign w:val="center"/>
          </w:tcPr>
          <w:p w:rsidR="002165C1" w:rsidRDefault="00232AE8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中国房地产开发集团 董事长</w:t>
            </w:r>
          </w:p>
        </w:tc>
        <w:tc>
          <w:tcPr>
            <w:tcW w:w="993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 xml:space="preserve">邓  峰 </w:t>
            </w:r>
          </w:p>
        </w:tc>
        <w:tc>
          <w:tcPr>
            <w:tcW w:w="382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北极光风险投资基金 总经理</w:t>
            </w:r>
          </w:p>
        </w:tc>
      </w:tr>
      <w:tr w:rsidR="002165C1">
        <w:tc>
          <w:tcPr>
            <w:tcW w:w="95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lastRenderedPageBreak/>
              <w:t>许  健</w:t>
            </w:r>
          </w:p>
        </w:tc>
        <w:tc>
          <w:tcPr>
            <w:tcW w:w="4110" w:type="dxa"/>
            <w:gridSpan w:val="2"/>
            <w:vAlign w:val="center"/>
          </w:tcPr>
          <w:p w:rsidR="002165C1" w:rsidRDefault="00232AE8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中国人民银行党校 副校长</w:t>
            </w:r>
          </w:p>
        </w:tc>
        <w:tc>
          <w:tcPr>
            <w:tcW w:w="993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王  宇</w:t>
            </w:r>
          </w:p>
        </w:tc>
        <w:tc>
          <w:tcPr>
            <w:tcW w:w="382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雷石投资 CEO</w:t>
            </w:r>
          </w:p>
        </w:tc>
      </w:tr>
      <w:tr w:rsidR="002165C1">
        <w:tc>
          <w:tcPr>
            <w:tcW w:w="95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周  立</w:t>
            </w:r>
          </w:p>
        </w:tc>
        <w:tc>
          <w:tcPr>
            <w:tcW w:w="4110" w:type="dxa"/>
            <w:gridSpan w:val="2"/>
            <w:vAlign w:val="center"/>
          </w:tcPr>
          <w:p w:rsidR="002165C1" w:rsidRDefault="00232AE8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清华经济管理学院 教授</w:t>
            </w:r>
          </w:p>
        </w:tc>
        <w:tc>
          <w:tcPr>
            <w:tcW w:w="993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薛  军</w:t>
            </w:r>
          </w:p>
        </w:tc>
        <w:tc>
          <w:tcPr>
            <w:tcW w:w="382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启迪创投管理有限公司 总经理</w:t>
            </w:r>
          </w:p>
        </w:tc>
      </w:tr>
      <w:tr w:rsidR="002165C1">
        <w:tc>
          <w:tcPr>
            <w:tcW w:w="95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范  红</w:t>
            </w:r>
          </w:p>
        </w:tc>
        <w:tc>
          <w:tcPr>
            <w:tcW w:w="4110" w:type="dxa"/>
            <w:gridSpan w:val="2"/>
            <w:vAlign w:val="center"/>
          </w:tcPr>
          <w:p w:rsidR="002165C1" w:rsidRDefault="00232AE8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清华新闻与传播学院 教授</w:t>
            </w:r>
          </w:p>
        </w:tc>
        <w:tc>
          <w:tcPr>
            <w:tcW w:w="993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潘福祥</w:t>
            </w:r>
          </w:p>
        </w:tc>
        <w:tc>
          <w:tcPr>
            <w:tcW w:w="382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诺德基金管理有限公司 总经理</w:t>
            </w:r>
          </w:p>
        </w:tc>
      </w:tr>
      <w:tr w:rsidR="002165C1">
        <w:tc>
          <w:tcPr>
            <w:tcW w:w="95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 xml:space="preserve">韩秀云 </w:t>
            </w:r>
          </w:p>
        </w:tc>
        <w:tc>
          <w:tcPr>
            <w:tcW w:w="4110" w:type="dxa"/>
            <w:gridSpan w:val="2"/>
            <w:vAlign w:val="center"/>
          </w:tcPr>
          <w:p w:rsidR="002165C1" w:rsidRDefault="00232AE8">
            <w:pPr>
              <w:spacing w:line="400" w:lineRule="exact"/>
              <w:ind w:firstLineChars="64" w:firstLine="128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清华中国经济研究中心 研究员</w:t>
            </w:r>
          </w:p>
        </w:tc>
        <w:tc>
          <w:tcPr>
            <w:tcW w:w="993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王红英</w:t>
            </w:r>
          </w:p>
        </w:tc>
        <w:tc>
          <w:tcPr>
            <w:tcW w:w="382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中国中期研究院  执行院长</w:t>
            </w:r>
          </w:p>
        </w:tc>
      </w:tr>
      <w:tr w:rsidR="002165C1">
        <w:tc>
          <w:tcPr>
            <w:tcW w:w="95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金占明</w:t>
            </w:r>
          </w:p>
        </w:tc>
        <w:tc>
          <w:tcPr>
            <w:tcW w:w="4110" w:type="dxa"/>
            <w:gridSpan w:val="2"/>
            <w:vAlign w:val="center"/>
          </w:tcPr>
          <w:p w:rsidR="002165C1" w:rsidRDefault="00232AE8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清华经济管理学院 教授</w:t>
            </w:r>
          </w:p>
        </w:tc>
        <w:tc>
          <w:tcPr>
            <w:tcW w:w="993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戴宛辛</w:t>
            </w:r>
          </w:p>
        </w:tc>
        <w:tc>
          <w:tcPr>
            <w:tcW w:w="382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清华新闻与传播学院 教授</w:t>
            </w:r>
          </w:p>
        </w:tc>
      </w:tr>
      <w:tr w:rsidR="002165C1">
        <w:tc>
          <w:tcPr>
            <w:tcW w:w="95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廖建桥</w:t>
            </w:r>
          </w:p>
        </w:tc>
        <w:tc>
          <w:tcPr>
            <w:tcW w:w="4110" w:type="dxa"/>
            <w:gridSpan w:val="2"/>
            <w:vAlign w:val="center"/>
          </w:tcPr>
          <w:p w:rsidR="002165C1" w:rsidRDefault="00232AE8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华中科技大学管理学院 副院长</w:t>
            </w:r>
          </w:p>
        </w:tc>
        <w:tc>
          <w:tcPr>
            <w:tcW w:w="993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kern w:val="0"/>
                <w:sz w:val="20"/>
                <w:szCs w:val="21"/>
              </w:rPr>
              <w:t>庞  红</w:t>
            </w:r>
          </w:p>
        </w:tc>
        <w:tc>
          <w:tcPr>
            <w:tcW w:w="382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 w:hint="eastAsia"/>
                <w:kern w:val="0"/>
                <w:sz w:val="20"/>
                <w:szCs w:val="21"/>
              </w:rPr>
              <w:t>中国人民大学财金学院 书记</w:t>
            </w:r>
          </w:p>
        </w:tc>
      </w:tr>
      <w:tr w:rsidR="002165C1">
        <w:tc>
          <w:tcPr>
            <w:tcW w:w="958" w:type="dxa"/>
            <w:vAlign w:val="center"/>
          </w:tcPr>
          <w:p w:rsidR="002165C1" w:rsidRDefault="00232AE8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  <w:r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  <w:t>......</w:t>
            </w:r>
            <w:r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  <w:tab/>
            </w:r>
          </w:p>
        </w:tc>
        <w:tc>
          <w:tcPr>
            <w:tcW w:w="4110" w:type="dxa"/>
            <w:gridSpan w:val="2"/>
            <w:vAlign w:val="center"/>
          </w:tcPr>
          <w:p w:rsidR="002165C1" w:rsidRDefault="002165C1">
            <w:pPr>
              <w:spacing w:line="400" w:lineRule="exact"/>
              <w:ind w:firstLineChars="50" w:firstLine="100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</w:p>
        </w:tc>
        <w:tc>
          <w:tcPr>
            <w:tcW w:w="993" w:type="dxa"/>
            <w:vAlign w:val="center"/>
          </w:tcPr>
          <w:p w:rsidR="002165C1" w:rsidRDefault="002165C1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</w:p>
        </w:tc>
        <w:tc>
          <w:tcPr>
            <w:tcW w:w="3828" w:type="dxa"/>
            <w:vAlign w:val="center"/>
          </w:tcPr>
          <w:p w:rsidR="002165C1" w:rsidRDefault="002165C1">
            <w:pPr>
              <w:spacing w:line="400" w:lineRule="exact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</w:p>
        </w:tc>
      </w:tr>
      <w:tr w:rsidR="002165C1">
        <w:tc>
          <w:tcPr>
            <w:tcW w:w="958" w:type="dxa"/>
            <w:vAlign w:val="center"/>
          </w:tcPr>
          <w:p w:rsidR="002165C1" w:rsidRDefault="002165C1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</w:p>
        </w:tc>
        <w:tc>
          <w:tcPr>
            <w:tcW w:w="4110" w:type="dxa"/>
            <w:gridSpan w:val="2"/>
            <w:vAlign w:val="center"/>
          </w:tcPr>
          <w:p w:rsidR="002165C1" w:rsidRDefault="002165C1">
            <w:pPr>
              <w:spacing w:line="400" w:lineRule="exact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</w:p>
        </w:tc>
        <w:tc>
          <w:tcPr>
            <w:tcW w:w="993" w:type="dxa"/>
            <w:vAlign w:val="center"/>
          </w:tcPr>
          <w:p w:rsidR="002165C1" w:rsidRDefault="002165C1">
            <w:pPr>
              <w:spacing w:line="400" w:lineRule="exact"/>
              <w:outlineLvl w:val="0"/>
              <w:rPr>
                <w:rFonts w:ascii="微软雅黑" w:eastAsia="微软雅黑" w:hAnsi="微软雅黑"/>
                <w:b/>
                <w:kern w:val="0"/>
                <w:sz w:val="20"/>
                <w:szCs w:val="21"/>
              </w:rPr>
            </w:pPr>
          </w:p>
        </w:tc>
        <w:tc>
          <w:tcPr>
            <w:tcW w:w="3828" w:type="dxa"/>
            <w:vAlign w:val="center"/>
          </w:tcPr>
          <w:p w:rsidR="002165C1" w:rsidRDefault="002165C1">
            <w:pPr>
              <w:spacing w:line="400" w:lineRule="exact"/>
              <w:outlineLvl w:val="0"/>
              <w:rPr>
                <w:rFonts w:ascii="微软雅黑" w:eastAsia="微软雅黑" w:hAnsi="微软雅黑"/>
                <w:kern w:val="0"/>
                <w:sz w:val="20"/>
                <w:szCs w:val="21"/>
              </w:rPr>
            </w:pPr>
          </w:p>
        </w:tc>
      </w:tr>
    </w:tbl>
    <w:p w:rsidR="002165C1" w:rsidRDefault="002165C1">
      <w:pPr>
        <w:ind w:leftChars="-270" w:left="-567"/>
        <w:rPr>
          <w:szCs w:val="21"/>
        </w:rPr>
      </w:pPr>
    </w:p>
    <w:p w:rsidR="002165C1" w:rsidRDefault="002165C1">
      <w:pPr>
        <w:ind w:leftChars="-270" w:left="-567"/>
        <w:rPr>
          <w:szCs w:val="21"/>
        </w:rPr>
      </w:pPr>
    </w:p>
    <w:p w:rsidR="002165C1" w:rsidRDefault="002165C1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2165C1" w:rsidRDefault="002165C1">
      <w:pPr>
        <w:ind w:leftChars="-270" w:left="-567"/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2165C1" w:rsidRDefault="00232AE8">
      <w:pPr>
        <w:ind w:leftChars="-270" w:left="-567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我们的同学</w:t>
      </w:r>
    </w:p>
    <w:p w:rsidR="002165C1" w:rsidRDefault="00B51A61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/>
          <w:b/>
          <w:sz w:val="28"/>
          <w:szCs w:val="28"/>
        </w:rPr>
        <w:pict>
          <v:rect id="_x0000_s1057" style="position:absolute;left:0;text-align:left;margin-left:161.05pt;margin-top:3.2pt;width:85.05pt;height:3.55pt;z-index:251689984" fillcolor="#c00000" stroked="f">
            <w10:anchorlock/>
          </v:rect>
        </w:pict>
      </w:r>
      <w:r>
        <w:rPr>
          <w:rFonts w:ascii="微软雅黑" w:eastAsia="微软雅黑" w:hAnsi="微软雅黑"/>
          <w:b/>
          <w:sz w:val="28"/>
          <w:szCs w:val="28"/>
        </w:rPr>
        <w:pict>
          <v:shape id="_x0000_s1056" type="#_x0000_t32" style="position:absolute;left:0;text-align:left;margin-left:-22.1pt;margin-top:5.45pt;width:448.5pt;height:0;z-index:251688960" o:connectortype="straight" strokecolor="#c00000">
            <w10:anchorlock/>
          </v:shape>
        </w:pict>
      </w:r>
    </w:p>
    <w:p w:rsidR="002165C1" w:rsidRDefault="00232AE8">
      <w:pPr>
        <w:spacing w:line="360" w:lineRule="exact"/>
        <w:ind w:leftChars="-202" w:left="-422" w:rightChars="67" w:right="141" w:hanging="2"/>
        <w:outlineLvl w:val="0"/>
        <w:rPr>
          <w:szCs w:val="21"/>
        </w:rPr>
      </w:pPr>
      <w:r>
        <w:rPr>
          <w:rFonts w:ascii="微软雅黑" w:eastAsia="微软雅黑" w:hAnsi="微软雅黑" w:hint="eastAsia"/>
          <w:szCs w:val="21"/>
        </w:rPr>
        <w:t>“我自己也有一个深切的感受，单纯的靠经验和靠自学是不够的，北大有一个非常优秀的老师队伍，到北大来，让老师带着我们很好地梳理一下，我们行业的相关知识，对我们下一步非常有好处， 另外也能够让我们静下心来，为过去的工作做一个总结。”</w:t>
      </w:r>
    </w:p>
    <w:p w:rsidR="002165C1" w:rsidRDefault="00232AE8">
      <w:pPr>
        <w:spacing w:line="360" w:lineRule="exact"/>
        <w:ind w:leftChars="-202" w:left="-424" w:rightChars="67" w:right="141" w:firstLineChars="202" w:firstLine="426"/>
        <w:jc w:val="right"/>
        <w:outlineLvl w:val="0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张  杰</w:t>
      </w:r>
    </w:p>
    <w:p w:rsidR="002165C1" w:rsidRDefault="00232AE8">
      <w:pPr>
        <w:spacing w:line="360" w:lineRule="exact"/>
        <w:ind w:leftChars="-202" w:left="-424" w:rightChars="67" w:right="141" w:firstLineChars="202" w:firstLine="424"/>
        <w:jc w:val="right"/>
        <w:outlineLvl w:val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北京东方通科技股份有限公司  董事</w:t>
      </w:r>
    </w:p>
    <w:p w:rsidR="002165C1" w:rsidRDefault="002165C1">
      <w:pPr>
        <w:spacing w:line="360" w:lineRule="exact"/>
        <w:ind w:leftChars="-202" w:left="-424" w:firstLineChars="202" w:firstLine="426"/>
        <w:jc w:val="right"/>
        <w:outlineLvl w:val="0"/>
        <w:rPr>
          <w:b/>
          <w:szCs w:val="21"/>
        </w:rPr>
      </w:pPr>
    </w:p>
    <w:p w:rsidR="002165C1" w:rsidRDefault="00232AE8">
      <w:pPr>
        <w:spacing w:line="360" w:lineRule="exact"/>
        <w:ind w:leftChars="-202" w:left="-422" w:rightChars="67" w:right="141" w:hanging="2"/>
        <w:jc w:val="left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“金融战略与商业模式CEO班的学习不仅系统提升了我对金融的理解，而且有群很好的同学极大地拓宽了我的视野，开阔了眼界。课程的安排也非常合理，使得我们得以从繁冗的日常经营工作中抽身出来，进行阶段性思考和理论升华，这对于工作在一线的企业家非常必要。”</w:t>
      </w:r>
    </w:p>
    <w:p w:rsidR="002165C1" w:rsidRDefault="00232AE8">
      <w:pPr>
        <w:spacing w:line="360" w:lineRule="exact"/>
        <w:ind w:leftChars="-202" w:left="-424" w:firstLineChars="202" w:firstLine="426"/>
        <w:jc w:val="right"/>
        <w:outlineLvl w:val="0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潘  橙</w:t>
      </w:r>
    </w:p>
    <w:p w:rsidR="002165C1" w:rsidRDefault="00232AE8">
      <w:pPr>
        <w:spacing w:line="360" w:lineRule="exact"/>
        <w:ind w:leftChars="-202" w:left="-424" w:firstLineChars="202" w:firstLine="424"/>
        <w:jc w:val="right"/>
        <w:outlineLvl w:val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山水控股集团  总裁</w:t>
      </w:r>
    </w:p>
    <w:p w:rsidR="002165C1" w:rsidRDefault="002165C1">
      <w:pPr>
        <w:spacing w:line="360" w:lineRule="exact"/>
        <w:ind w:leftChars="-202" w:left="-424" w:firstLineChars="202" w:firstLine="424"/>
        <w:jc w:val="left"/>
        <w:outlineLvl w:val="0"/>
        <w:rPr>
          <w:szCs w:val="21"/>
        </w:rPr>
      </w:pPr>
    </w:p>
    <w:p w:rsidR="002165C1" w:rsidRDefault="00232AE8">
      <w:pPr>
        <w:spacing w:line="360" w:lineRule="exact"/>
        <w:ind w:leftChars="-202" w:left="-422" w:hanging="2"/>
        <w:jc w:val="left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“金融战略与商业模式CEO班不仅提供了一个全方位、高层次学习国际金融市场和金融业务的平台，也提供了一个开拓商机、结交国内外金融及产业界朋友、拓展人生视野的良机。”</w:t>
      </w:r>
    </w:p>
    <w:p w:rsidR="002165C1" w:rsidRDefault="00232AE8">
      <w:pPr>
        <w:spacing w:line="360" w:lineRule="exact"/>
        <w:ind w:leftChars="-202" w:left="-424" w:firstLineChars="202" w:firstLine="426"/>
        <w:jc w:val="right"/>
        <w:outlineLvl w:val="0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杨全福</w:t>
      </w:r>
    </w:p>
    <w:p w:rsidR="002165C1" w:rsidRDefault="00232AE8">
      <w:pPr>
        <w:spacing w:line="360" w:lineRule="exact"/>
        <w:ind w:leftChars="-202" w:left="-424" w:firstLineChars="202" w:firstLine="424"/>
        <w:jc w:val="right"/>
        <w:outlineLvl w:val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海南易建科技股份有限公司 总裁</w:t>
      </w:r>
    </w:p>
    <w:p w:rsidR="002165C1" w:rsidRDefault="002165C1">
      <w:pPr>
        <w:spacing w:line="360" w:lineRule="exact"/>
        <w:ind w:leftChars="-202" w:left="-424" w:firstLineChars="202" w:firstLine="424"/>
        <w:jc w:val="left"/>
        <w:outlineLvl w:val="0"/>
        <w:rPr>
          <w:szCs w:val="21"/>
        </w:rPr>
      </w:pPr>
    </w:p>
    <w:p w:rsidR="002165C1" w:rsidRDefault="00232AE8">
      <w:pPr>
        <w:spacing w:line="360" w:lineRule="exact"/>
        <w:ind w:leftChars="-202" w:left="-422" w:hanging="2"/>
        <w:jc w:val="left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“不了解金融战略与商业模式CEO班学习的重要性，是可以理解的。当你了解了，不去北大学习，那会是终生的遗憾。”</w:t>
      </w:r>
    </w:p>
    <w:p w:rsidR="002165C1" w:rsidRDefault="00232AE8">
      <w:pPr>
        <w:spacing w:line="360" w:lineRule="exact"/>
        <w:ind w:leftChars="-202" w:left="-424" w:firstLineChars="202" w:firstLine="426"/>
        <w:jc w:val="right"/>
        <w:outlineLvl w:val="0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刘洁茹</w:t>
      </w:r>
    </w:p>
    <w:p w:rsidR="002165C1" w:rsidRDefault="00232AE8">
      <w:pPr>
        <w:spacing w:line="360" w:lineRule="exact"/>
        <w:ind w:leftChars="-202" w:left="-424" w:firstLineChars="202" w:firstLine="424"/>
        <w:jc w:val="right"/>
        <w:outlineLvl w:val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>武汉方元环境科技股份有限公司 董事</w:t>
      </w:r>
    </w:p>
    <w:p w:rsidR="002165C1" w:rsidRDefault="00232AE8">
      <w:pPr>
        <w:pStyle w:val="2"/>
        <w:tabs>
          <w:tab w:val="left" w:pos="2520"/>
        </w:tabs>
        <w:spacing w:line="400" w:lineRule="exact"/>
        <w:ind w:leftChars="-202" w:left="-422" w:hanging="2"/>
        <w:rPr>
          <w:rFonts w:ascii="微软雅黑" w:eastAsia="微软雅黑" w:hAnsi="微软雅黑"/>
          <w:b/>
          <w:color w:val="C00000"/>
          <w:sz w:val="24"/>
          <w:szCs w:val="24"/>
        </w:rPr>
      </w:pPr>
      <w:r>
        <w:rPr>
          <w:rFonts w:ascii="微软雅黑" w:eastAsia="微软雅黑" w:hAnsi="微软雅黑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116205</wp:posOffset>
            </wp:positionV>
            <wp:extent cx="5962650" cy="2828925"/>
            <wp:effectExtent l="19050" t="0" r="0" b="0"/>
            <wp:wrapNone/>
            <wp:docPr id="4" name="图片 10" descr="创新管理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创新管理插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5C1" w:rsidRDefault="002165C1"/>
    <w:p w:rsidR="002165C1" w:rsidRDefault="002165C1"/>
    <w:p w:rsidR="002165C1" w:rsidRDefault="002165C1"/>
    <w:p w:rsidR="002165C1" w:rsidRDefault="002165C1"/>
    <w:p w:rsidR="002165C1" w:rsidRDefault="002165C1"/>
    <w:p w:rsidR="002165C1" w:rsidRDefault="002165C1"/>
    <w:p w:rsidR="002165C1" w:rsidRDefault="002165C1"/>
    <w:p w:rsidR="002165C1" w:rsidRDefault="002165C1"/>
    <w:p w:rsidR="002165C1" w:rsidRDefault="002165C1"/>
    <w:p w:rsidR="002165C1" w:rsidRDefault="002165C1"/>
    <w:p w:rsidR="002165C1" w:rsidRDefault="002165C1"/>
    <w:p w:rsidR="002165C1" w:rsidRDefault="002165C1"/>
    <w:p w:rsidR="002165C1" w:rsidRDefault="002165C1"/>
    <w:p w:rsidR="002165C1" w:rsidRDefault="002165C1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2165C1" w:rsidRDefault="00232AE8">
      <w:pPr>
        <w:ind w:leftChars="-270" w:left="-567" w:firstLineChars="58" w:firstLine="162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我们欢迎你</w:t>
      </w:r>
    </w:p>
    <w:p w:rsidR="002165C1" w:rsidRDefault="00B51A61">
      <w:pPr>
        <w:ind w:leftChars="-270" w:left="-567" w:firstLineChars="58" w:firstLine="122"/>
        <w:rPr>
          <w:rFonts w:ascii="微软雅黑" w:eastAsia="微软雅黑" w:hAnsi="微软雅黑"/>
          <w:b/>
          <w:sz w:val="28"/>
          <w:szCs w:val="28"/>
        </w:rPr>
      </w:pPr>
      <w:r w:rsidRPr="00B51A61">
        <w:pict>
          <v:rect id="_x0000_s1061" style="position:absolute;left:0;text-align:left;margin-left:165.8pt;margin-top:-5.3pt;width:85.05pt;height:3.55pt;z-index:251694080" fillcolor="#c00000" stroked="f">
            <w10:anchorlock/>
          </v:rect>
        </w:pict>
      </w:r>
      <w:r w:rsidRPr="00B51A61">
        <w:pict>
          <v:shape id="_x0000_s1060" type="#_x0000_t32" style="position:absolute;left:0;text-align:left;margin-left:-22.5pt;margin-top:-3.55pt;width:448.5pt;height:0;z-index:251693056" o:connectortype="straight" strokecolor="#c00000">
            <w10:anchorlock/>
          </v:shape>
        </w:pict>
      </w:r>
      <w:r w:rsidR="00232AE8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招生对象</w:t>
      </w:r>
    </w:p>
    <w:p w:rsidR="002165C1" w:rsidRDefault="00232AE8">
      <w:pPr>
        <w:spacing w:line="42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企业CEO、总经理等企业中高层管理者；各类从事金融、股权投资或投资管理的专业人士和控股公司/集团公司中高层管理人员等。</w:t>
      </w:r>
    </w:p>
    <w:p w:rsidR="002165C1" w:rsidRDefault="00232AE8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------------------------------------------------------------------------------------------------</w:t>
      </w:r>
    </w:p>
    <w:p w:rsidR="002165C1" w:rsidRDefault="002165C1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2165C1" w:rsidRDefault="00232AE8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学习安排</w:t>
      </w:r>
    </w:p>
    <w:p w:rsidR="002165C1" w:rsidRDefault="00232AE8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学制一年，每月集中授课</w:t>
      </w:r>
      <w:r w:rsidR="00205246">
        <w:rPr>
          <w:rFonts w:ascii="微软雅黑" w:eastAsia="微软雅黑" w:hAnsi="微软雅黑" w:hint="eastAsia"/>
          <w:szCs w:val="21"/>
        </w:rPr>
        <w:t>2-</w:t>
      </w:r>
      <w:r>
        <w:rPr>
          <w:rFonts w:ascii="微软雅黑" w:eastAsia="微软雅黑" w:hAnsi="微软雅黑" w:hint="eastAsia"/>
          <w:szCs w:val="21"/>
        </w:rPr>
        <w:t>3天。</w:t>
      </w:r>
    </w:p>
    <w:p w:rsidR="002165C1" w:rsidRDefault="00232AE8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------------------------------------------------------------------------------------------------</w:t>
      </w:r>
    </w:p>
    <w:p w:rsidR="002165C1" w:rsidRDefault="002165C1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2165C1" w:rsidRDefault="00232AE8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学习费用</w:t>
      </w:r>
    </w:p>
    <w:p w:rsidR="002165C1" w:rsidRDefault="00232AE8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RMB 78000元/人（学员学习期间的食宿费、交通费自理）。</w:t>
      </w:r>
    </w:p>
    <w:p w:rsidR="002165C1" w:rsidRDefault="00232AE8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------------------------------------------------------------------------------------------------</w:t>
      </w:r>
    </w:p>
    <w:p w:rsidR="002165C1" w:rsidRDefault="002165C1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2165C1" w:rsidRDefault="00232AE8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证书颁发</w:t>
      </w:r>
    </w:p>
    <w:p w:rsidR="002165C1" w:rsidRDefault="00232AE8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通过全部课程及论文答辩，将获得北大颁发的结业证书。证书统一编号，加盖北京大学钢印。</w:t>
      </w:r>
    </w:p>
    <w:p w:rsidR="002165C1" w:rsidRDefault="00232AE8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------------------------------------------------------------------------------------------------</w:t>
      </w:r>
    </w:p>
    <w:p w:rsidR="002165C1" w:rsidRDefault="002165C1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2165C1" w:rsidRDefault="00232AE8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联系方式</w:t>
      </w:r>
    </w:p>
    <w:p w:rsidR="00F97C80" w:rsidRPr="003A6EDD" w:rsidRDefault="00F97C80" w:rsidP="00F97C80">
      <w:r>
        <w:rPr>
          <w:rFonts w:hint="eastAsia"/>
          <w:b/>
          <w:bCs/>
        </w:rPr>
        <w:t>联系人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：陈老师、王老师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电话：</w:t>
      </w:r>
      <w:r>
        <w:rPr>
          <w:rFonts w:hint="eastAsia"/>
          <w:b/>
          <w:bCs/>
        </w:rPr>
        <w:t>010-59480917</w:t>
      </w:r>
    </w:p>
    <w:p w:rsidR="002165C1" w:rsidRDefault="00232AE8">
      <w:pPr>
        <w:spacing w:line="360" w:lineRule="exact"/>
        <w:ind w:leftChars="-270" w:left="-567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lastRenderedPageBreak/>
        <w:t>学员报名表</w:t>
      </w:r>
    </w:p>
    <w:p w:rsidR="002165C1" w:rsidRDefault="002165C1">
      <w:pPr>
        <w:spacing w:line="360" w:lineRule="exact"/>
        <w:ind w:leftChars="-270" w:left="-567"/>
        <w:jc w:val="center"/>
        <w:rPr>
          <w:rFonts w:ascii="宋体" w:hAnsi="宋体"/>
          <w:b/>
          <w:sz w:val="36"/>
          <w:szCs w:val="36"/>
        </w:rPr>
      </w:pPr>
    </w:p>
    <w:tbl>
      <w:tblPr>
        <w:tblpPr w:leftFromText="180" w:rightFromText="180" w:vertAnchor="text" w:horzAnchor="margin" w:tblpXSpec="center" w:tblpY="76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709"/>
        <w:gridCol w:w="1842"/>
        <w:gridCol w:w="284"/>
        <w:gridCol w:w="850"/>
        <w:gridCol w:w="1701"/>
        <w:gridCol w:w="426"/>
        <w:gridCol w:w="708"/>
        <w:gridCol w:w="1560"/>
      </w:tblGrid>
      <w:tr w:rsidR="002165C1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ascii="宋体" w:hAnsi="宋体" w:hint="eastAsia"/>
                <w:szCs w:val="21"/>
              </w:rPr>
              <w:t>所报班级</w:t>
            </w:r>
          </w:p>
        </w:tc>
        <w:tc>
          <w:tcPr>
            <w:tcW w:w="80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5C1" w:rsidRDefault="002165C1"/>
        </w:tc>
      </w:tr>
      <w:tr w:rsidR="002165C1">
        <w:trPr>
          <w:trHeight w:val="454"/>
        </w:trPr>
        <w:tc>
          <w:tcPr>
            <w:tcW w:w="96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2165C1" w:rsidRDefault="00232AE8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个人资料</w:t>
            </w:r>
          </w:p>
        </w:tc>
      </w:tr>
      <w:tr w:rsidR="002165C1">
        <w:trPr>
          <w:trHeight w:val="397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姓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5C1" w:rsidRDefault="002165C1"/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英文名</w:t>
            </w:r>
          </w:p>
          <w:p w:rsidR="002165C1" w:rsidRDefault="00232AE8">
            <w:pPr>
              <w:jc w:val="center"/>
            </w:pPr>
            <w:r>
              <w:rPr>
                <w:rFonts w:hint="eastAsia"/>
                <w:szCs w:val="21"/>
              </w:rPr>
              <w:t>（如有）</w:t>
            </w:r>
          </w:p>
        </w:tc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5C1" w:rsidRDefault="002165C1"/>
        </w:tc>
      </w:tr>
      <w:tr w:rsidR="002165C1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身份证件种类</w:t>
            </w:r>
          </w:p>
        </w:tc>
        <w:tc>
          <w:tcPr>
            <w:tcW w:w="80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165C1" w:rsidRDefault="00B51A61">
            <w:r>
              <w:pict>
                <v:rect id="Rectangle 7" o:spid="_x0000_s1063" style="position:absolute;left:0;text-align:left;margin-left:46.45pt;margin-top:3.9pt;width:9pt;height:8.25pt;z-index:251700224;mso-position-horizontal-relative:text;mso-position-vertical-relative:text" filled="f" fillcolor="black"/>
              </w:pict>
            </w:r>
            <w:r>
              <w:pict>
                <v:rect id="_x0000_s1064" style="position:absolute;left:0;text-align:left;margin-left:250.55pt;margin-top:3.25pt;width:9pt;height:8.25pt;z-index:251701248;mso-position-horizontal-relative:text;mso-position-vertical-relative:text" filled="f" fillcolor="black"/>
              </w:pict>
            </w:r>
            <w:r>
              <w:pict>
                <v:rect id="_x0000_s1065" style="position:absolute;left:0;text-align:left;margin-left:119.5pt;margin-top:3.9pt;width:9pt;height:8.25pt;z-index:251702272;mso-position-horizontal-relative:text;mso-position-vertical-relative:text" filled="f" fillcolor="black"/>
              </w:pict>
            </w:r>
            <w:r w:rsidR="00232AE8">
              <w:rPr>
                <w:szCs w:val="21"/>
              </w:rPr>
              <w:t xml:space="preserve">           </w:t>
            </w:r>
            <w:r w:rsidR="00232AE8">
              <w:rPr>
                <w:rFonts w:hint="eastAsia"/>
                <w:szCs w:val="21"/>
              </w:rPr>
              <w:t>身份证</w:t>
            </w:r>
            <w:r w:rsidR="00232AE8">
              <w:rPr>
                <w:szCs w:val="21"/>
              </w:rPr>
              <w:t xml:space="preserve">        </w:t>
            </w:r>
            <w:r w:rsidR="00232AE8">
              <w:rPr>
                <w:rFonts w:hint="eastAsia"/>
                <w:szCs w:val="21"/>
              </w:rPr>
              <w:t>港澳台地区身份证</w:t>
            </w:r>
            <w:r w:rsidR="00232AE8">
              <w:rPr>
                <w:szCs w:val="21"/>
              </w:rPr>
              <w:t xml:space="preserve">         </w:t>
            </w:r>
            <w:r w:rsidR="00232AE8">
              <w:rPr>
                <w:rFonts w:hint="eastAsia"/>
                <w:szCs w:val="21"/>
              </w:rPr>
              <w:t>外籍护照</w:t>
            </w:r>
          </w:p>
        </w:tc>
      </w:tr>
      <w:tr w:rsidR="002165C1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证件号码</w:t>
            </w:r>
          </w:p>
        </w:tc>
        <w:tc>
          <w:tcPr>
            <w:tcW w:w="80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165C1"/>
        </w:tc>
      </w:tr>
      <w:tr w:rsidR="002165C1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性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别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165C1"/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国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籍</w:t>
            </w:r>
          </w:p>
        </w:tc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165C1"/>
        </w:tc>
      </w:tr>
      <w:tr w:rsidR="002165C1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t xml:space="preserve">    </w:t>
            </w:r>
            <w:r>
              <w:rPr>
                <w:rFonts w:hint="eastAsia"/>
              </w:rPr>
              <w:t>年</w:t>
            </w:r>
            <w:r>
              <w:t xml:space="preserve">   </w:t>
            </w:r>
            <w:r>
              <w:rPr>
                <w:rFonts w:hint="eastAsia"/>
              </w:rPr>
              <w:t>月</w:t>
            </w:r>
            <w:r>
              <w:t xml:space="preserve">   </w:t>
            </w:r>
            <w:r>
              <w:rPr>
                <w:rFonts w:hint="eastAsia"/>
              </w:rPr>
              <w:t>日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出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生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地</w:t>
            </w:r>
          </w:p>
        </w:tc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szCs w:val="21"/>
              </w:rPr>
              <w:t xml:space="preserve">         </w:t>
            </w:r>
            <w:r>
              <w:rPr>
                <w:rFonts w:hint="eastAsia"/>
                <w:szCs w:val="21"/>
              </w:rPr>
              <w:t>省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直辖市</w:t>
            </w:r>
            <w:r>
              <w:rPr>
                <w:szCs w:val="21"/>
              </w:rPr>
              <w:t xml:space="preserve">      </w:t>
            </w:r>
            <w:r>
              <w:rPr>
                <w:rFonts w:hint="eastAsia"/>
                <w:szCs w:val="21"/>
              </w:rPr>
              <w:t>市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县</w:t>
            </w:r>
          </w:p>
        </w:tc>
      </w:tr>
      <w:tr w:rsidR="002165C1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籍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贯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省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直辖市</w:t>
            </w:r>
            <w:r>
              <w:rPr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民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165C1"/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政治面貌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165C1"/>
        </w:tc>
      </w:tr>
      <w:tr w:rsidR="002165C1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办公地址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165C1"/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邮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箱</w:t>
            </w:r>
          </w:p>
        </w:tc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165C1"/>
        </w:tc>
      </w:tr>
      <w:tr w:rsidR="002165C1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手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机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165C1"/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办公电话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165C1"/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办公传真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165C1"/>
        </w:tc>
      </w:tr>
      <w:tr w:rsidR="002165C1">
        <w:trPr>
          <w:trHeight w:val="454"/>
        </w:trPr>
        <w:tc>
          <w:tcPr>
            <w:tcW w:w="96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2165C1" w:rsidRDefault="00232AE8">
            <w:pPr>
              <w:jc w:val="center"/>
            </w:pPr>
            <w:r>
              <w:rPr>
                <w:rFonts w:hint="eastAsia"/>
                <w:b/>
                <w:sz w:val="24"/>
              </w:rPr>
              <w:t>工作背景</w:t>
            </w:r>
          </w:p>
        </w:tc>
      </w:tr>
      <w:tr w:rsidR="002165C1">
        <w:trPr>
          <w:trHeight w:val="454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全职工作时间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pPr>
              <w:jc w:val="right"/>
            </w:pPr>
            <w:r>
              <w:t xml:space="preserve">        </w:t>
            </w:r>
            <w:r>
              <w:rPr>
                <w:rFonts w:hint="eastAsia"/>
              </w:rPr>
              <w:t>年</w:t>
            </w:r>
            <w:r>
              <w:t xml:space="preserve">     </w:t>
            </w:r>
            <w:r>
              <w:rPr>
                <w:rFonts w:hint="eastAsia"/>
              </w:rPr>
              <w:t>月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担任管理工作时间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pPr>
              <w:jc w:val="right"/>
            </w:pPr>
            <w:r>
              <w:t xml:space="preserve">        </w:t>
            </w:r>
            <w:r>
              <w:rPr>
                <w:rFonts w:hint="eastAsia"/>
              </w:rPr>
              <w:t>年</w:t>
            </w:r>
            <w:r>
              <w:t xml:space="preserve">    </w:t>
            </w:r>
            <w:r>
              <w:rPr>
                <w:rFonts w:hint="eastAsia"/>
              </w:rPr>
              <w:t>月</w:t>
            </w:r>
          </w:p>
        </w:tc>
      </w:tr>
      <w:tr w:rsidR="002165C1">
        <w:trPr>
          <w:trHeight w:val="454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目前工作单位名称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165C1"/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单位网址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165C1"/>
        </w:tc>
      </w:tr>
      <w:tr w:rsidR="002165C1">
        <w:trPr>
          <w:trHeight w:val="454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现任职务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165C1"/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技术职称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165C1"/>
        </w:tc>
      </w:tr>
      <w:tr w:rsidR="002165C1">
        <w:trPr>
          <w:trHeight w:val="454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贵单位员工人数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pPr>
              <w:jc w:val="right"/>
            </w:pPr>
            <w:r>
              <w:t xml:space="preserve">   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你管辖下的员工人数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165C1">
            <w:pPr>
              <w:jc w:val="right"/>
            </w:pPr>
          </w:p>
        </w:tc>
      </w:tr>
      <w:tr w:rsidR="002165C1">
        <w:trPr>
          <w:trHeight w:val="454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贵单位上年度总资产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pPr>
              <w:jc w:val="center"/>
            </w:pPr>
            <w:r>
              <w:rPr>
                <w:rFonts w:hint="eastAsia"/>
                <w:szCs w:val="21"/>
              </w:rPr>
              <w:t>（亿）人民币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美元</w:t>
            </w:r>
          </w:p>
        </w:tc>
      </w:tr>
      <w:tr w:rsidR="002165C1">
        <w:trPr>
          <w:trHeight w:val="442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  <w:szCs w:val="21"/>
              </w:rPr>
              <w:t>贵单位上年度净资产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pPr>
              <w:jc w:val="center"/>
            </w:pPr>
            <w:r>
              <w:rPr>
                <w:rFonts w:hint="eastAsia"/>
                <w:szCs w:val="21"/>
              </w:rPr>
              <w:t>（亿）人民币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美元</w:t>
            </w:r>
          </w:p>
        </w:tc>
      </w:tr>
      <w:tr w:rsidR="002165C1">
        <w:trPr>
          <w:trHeight w:val="454"/>
        </w:trPr>
        <w:tc>
          <w:tcPr>
            <w:tcW w:w="96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2165C1" w:rsidRDefault="00232AE8">
            <w:pPr>
              <w:jc w:val="center"/>
            </w:pPr>
            <w:r>
              <w:rPr>
                <w:rFonts w:hint="eastAsia"/>
                <w:b/>
                <w:sz w:val="24"/>
              </w:rPr>
              <w:t>学籍档案材料</w:t>
            </w:r>
          </w:p>
        </w:tc>
      </w:tr>
      <w:tr w:rsidR="002165C1">
        <w:trPr>
          <w:trHeight w:val="397"/>
        </w:trPr>
        <w:tc>
          <w:tcPr>
            <w:tcW w:w="4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</w:rPr>
              <w:t>◆</w:t>
            </w:r>
            <w:r>
              <w:t xml:space="preserve"> 4</w:t>
            </w:r>
            <w:r>
              <w:rPr>
                <w:rFonts w:hint="eastAsia"/>
              </w:rPr>
              <w:t>张二寸蓝底近照</w:t>
            </w:r>
            <w:r>
              <w:t xml:space="preserve"> (</w:t>
            </w:r>
            <w:r>
              <w:rPr>
                <w:rFonts w:hint="eastAsia"/>
              </w:rPr>
              <w:t>电子版</w:t>
            </w:r>
            <w:r>
              <w:t xml:space="preserve">)  </w:t>
            </w:r>
          </w:p>
        </w:tc>
        <w:tc>
          <w:tcPr>
            <w:tcW w:w="5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</w:rPr>
              <w:t>◆</w:t>
            </w:r>
            <w:r>
              <w:t xml:space="preserve"> </w:t>
            </w:r>
            <w:r>
              <w:rPr>
                <w:rFonts w:hint="eastAsia"/>
              </w:rPr>
              <w:t>清晰的身份证复印件</w:t>
            </w:r>
          </w:p>
        </w:tc>
      </w:tr>
      <w:tr w:rsidR="002165C1">
        <w:trPr>
          <w:trHeight w:val="397"/>
        </w:trPr>
        <w:tc>
          <w:tcPr>
            <w:tcW w:w="4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</w:rPr>
              <w:t>◆</w:t>
            </w:r>
            <w:r>
              <w:t xml:space="preserve"> </w:t>
            </w:r>
            <w:r>
              <w:rPr>
                <w:rFonts w:hint="eastAsia"/>
              </w:rPr>
              <w:t>报名申请表</w:t>
            </w:r>
          </w:p>
        </w:tc>
        <w:tc>
          <w:tcPr>
            <w:tcW w:w="5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</w:rPr>
              <w:t>◆</w:t>
            </w:r>
            <w:r>
              <w:t xml:space="preserve"> </w:t>
            </w:r>
            <w:r>
              <w:rPr>
                <w:rFonts w:hint="eastAsia"/>
              </w:rPr>
              <w:t>最高学历</w:t>
            </w:r>
            <w:r>
              <w:t xml:space="preserve"> </w:t>
            </w:r>
            <w:r>
              <w:rPr>
                <w:rFonts w:hint="eastAsia"/>
              </w:rPr>
              <w:t>、学位证书复印件</w:t>
            </w:r>
          </w:p>
        </w:tc>
      </w:tr>
      <w:tr w:rsidR="002165C1">
        <w:trPr>
          <w:trHeight w:val="397"/>
        </w:trPr>
        <w:tc>
          <w:tcPr>
            <w:tcW w:w="4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</w:rPr>
              <w:t>◆</w:t>
            </w:r>
            <w:r>
              <w:t xml:space="preserve"> </w:t>
            </w:r>
            <w:r>
              <w:rPr>
                <w:rFonts w:hint="eastAsia"/>
              </w:rPr>
              <w:t>两张名片</w:t>
            </w:r>
          </w:p>
        </w:tc>
        <w:tc>
          <w:tcPr>
            <w:tcW w:w="5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65C1" w:rsidRDefault="00232AE8">
            <w:r>
              <w:rPr>
                <w:rFonts w:hint="eastAsia"/>
              </w:rPr>
              <w:t>◆</w:t>
            </w:r>
            <w:r>
              <w:t xml:space="preserve"> </w:t>
            </w:r>
            <w:r>
              <w:rPr>
                <w:rFonts w:hint="eastAsia"/>
              </w:rPr>
              <w:t>公司简介、营业执照副本复印件</w:t>
            </w:r>
          </w:p>
        </w:tc>
      </w:tr>
      <w:tr w:rsidR="002165C1">
        <w:trPr>
          <w:trHeight w:val="397"/>
        </w:trPr>
        <w:tc>
          <w:tcPr>
            <w:tcW w:w="96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2165C1" w:rsidRDefault="00232AE8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请将申请表发回至：</w:t>
            </w:r>
          </w:p>
        </w:tc>
      </w:tr>
      <w:tr w:rsidR="002165C1">
        <w:trPr>
          <w:trHeight w:val="2039"/>
        </w:trPr>
        <w:tc>
          <w:tcPr>
            <w:tcW w:w="96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5C1" w:rsidRDefault="00232AE8">
            <w:pPr>
              <w:spacing w:line="300" w:lineRule="exact"/>
              <w:rPr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4661535</wp:posOffset>
                  </wp:positionH>
                  <wp:positionV relativeFrom="paragraph">
                    <wp:posOffset>43180</wp:posOffset>
                  </wp:positionV>
                  <wp:extent cx="1268095" cy="1254125"/>
                  <wp:effectExtent l="0" t="0" r="0" b="0"/>
                  <wp:wrapNone/>
                  <wp:docPr id="2" name="图片 2" descr="logo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logo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125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165C1" w:rsidRDefault="00232AE8">
            <w:pPr>
              <w:spacing w:line="3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北京大学</w:t>
            </w:r>
          </w:p>
          <w:p w:rsidR="002165C1" w:rsidRDefault="00232AE8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联系人：</w:t>
            </w:r>
          </w:p>
          <w:p w:rsidR="002165C1" w:rsidRDefault="00232AE8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电</w:t>
            </w:r>
            <w:r>
              <w:rPr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话：</w:t>
            </w:r>
          </w:p>
          <w:p w:rsidR="002165C1" w:rsidRDefault="00232AE8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传</w:t>
            </w:r>
            <w:r>
              <w:rPr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真：</w:t>
            </w:r>
          </w:p>
          <w:p w:rsidR="002165C1" w:rsidRDefault="00232AE8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本申请表为保密文件，仅供招生委员会使用</w:t>
            </w:r>
          </w:p>
        </w:tc>
      </w:tr>
    </w:tbl>
    <w:p w:rsidR="002165C1" w:rsidRDefault="00232AE8">
      <w:pPr>
        <w:spacing w:line="560" w:lineRule="exact"/>
        <w:ind w:leftChars="-270" w:left="-567"/>
        <w:rPr>
          <w:szCs w:val="20"/>
        </w:rPr>
      </w:pPr>
      <w:r>
        <w:rPr>
          <w:szCs w:val="21"/>
        </w:rPr>
        <w:t xml:space="preserve">                                                                        </w:t>
      </w:r>
      <w:r>
        <w:rPr>
          <w:rFonts w:hint="eastAsia"/>
          <w:szCs w:val="21"/>
        </w:rPr>
        <w:t>本人签字：</w:t>
      </w:r>
      <w:r>
        <w:rPr>
          <w:szCs w:val="21"/>
        </w:rPr>
        <w:t xml:space="preserve"> </w:t>
      </w:r>
      <w:r>
        <w:rPr>
          <w:szCs w:val="21"/>
          <w:u w:val="single"/>
        </w:rPr>
        <w:t xml:space="preserve">               </w:t>
      </w:r>
    </w:p>
    <w:sectPr w:rsidR="002165C1" w:rsidSect="002165C1">
      <w:headerReference w:type="default" r:id="rId14"/>
      <w:footerReference w:type="default" r:id="rId15"/>
      <w:pgSz w:w="11906" w:h="16838"/>
      <w:pgMar w:top="1440" w:right="1558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091A" w:rsidRDefault="0053091A" w:rsidP="002165C1">
      <w:r>
        <w:separator/>
      </w:r>
    </w:p>
  </w:endnote>
  <w:endnote w:type="continuationSeparator" w:id="0">
    <w:p w:rsidR="0053091A" w:rsidRDefault="0053091A" w:rsidP="002165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隶书">
    <w:altName w:val="微软雅黑"/>
    <w:charset w:val="86"/>
    <w:family w:val="modern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44216"/>
    </w:sdtPr>
    <w:sdtEndPr>
      <w:rPr>
        <w:rFonts w:ascii="微软雅黑" w:eastAsia="微软雅黑" w:hAnsi="微软雅黑"/>
        <w:sz w:val="21"/>
        <w:szCs w:val="21"/>
      </w:rPr>
    </w:sdtEndPr>
    <w:sdtContent>
      <w:p w:rsidR="002165C1" w:rsidRDefault="00232AE8">
        <w:pPr>
          <w:pStyle w:val="a4"/>
          <w:jc w:val="right"/>
          <w:rPr>
            <w:rFonts w:ascii="微软雅黑" w:eastAsia="微软雅黑" w:hAnsi="微软雅黑"/>
            <w:sz w:val="21"/>
            <w:szCs w:val="21"/>
          </w:rPr>
        </w:pPr>
        <w:r>
          <w:rPr>
            <w:rFonts w:ascii="微软雅黑" w:eastAsia="微软雅黑" w:hAnsi="微软雅黑" w:hint="eastAsia"/>
            <w:sz w:val="21"/>
            <w:szCs w:val="21"/>
          </w:rPr>
          <w:t xml:space="preserve">PKU </w:t>
        </w:r>
        <w:r w:rsidR="00B51A61">
          <w:rPr>
            <w:rFonts w:ascii="微软雅黑" w:eastAsia="微软雅黑" w:hAnsi="微软雅黑"/>
            <w:sz w:val="21"/>
            <w:szCs w:val="21"/>
          </w:rPr>
          <w:fldChar w:fldCharType="begin"/>
        </w:r>
        <w:r>
          <w:rPr>
            <w:rFonts w:ascii="微软雅黑" w:eastAsia="微软雅黑" w:hAnsi="微软雅黑"/>
            <w:sz w:val="21"/>
            <w:szCs w:val="21"/>
          </w:rPr>
          <w:instrText xml:space="preserve"> PAGE   \* MERGEFORMAT </w:instrText>
        </w:r>
        <w:r w:rsidR="00B51A61">
          <w:rPr>
            <w:rFonts w:ascii="微软雅黑" w:eastAsia="微软雅黑" w:hAnsi="微软雅黑"/>
            <w:sz w:val="21"/>
            <w:szCs w:val="21"/>
          </w:rPr>
          <w:fldChar w:fldCharType="separate"/>
        </w:r>
        <w:r w:rsidR="00F97C80" w:rsidRPr="00F97C80">
          <w:rPr>
            <w:rFonts w:ascii="微软雅黑" w:eastAsia="微软雅黑" w:hAnsi="微软雅黑"/>
            <w:noProof/>
            <w:sz w:val="21"/>
            <w:szCs w:val="21"/>
            <w:lang w:val="zh-CN"/>
          </w:rPr>
          <w:t>8</w:t>
        </w:r>
        <w:r w:rsidR="00B51A61">
          <w:rPr>
            <w:rFonts w:ascii="微软雅黑" w:eastAsia="微软雅黑" w:hAnsi="微软雅黑"/>
            <w:sz w:val="21"/>
            <w:szCs w:val="21"/>
          </w:rPr>
          <w:fldChar w:fldCharType="end"/>
        </w:r>
      </w:p>
    </w:sdtContent>
  </w:sdt>
  <w:p w:rsidR="002165C1" w:rsidRDefault="002165C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091A" w:rsidRDefault="0053091A" w:rsidP="002165C1">
      <w:r>
        <w:separator/>
      </w:r>
    </w:p>
  </w:footnote>
  <w:footnote w:type="continuationSeparator" w:id="0">
    <w:p w:rsidR="0053091A" w:rsidRDefault="0053091A" w:rsidP="002165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5C1" w:rsidRDefault="002165C1">
    <w:pPr>
      <w:pStyle w:val="a5"/>
      <w:pBdr>
        <w:bottom w:val="none" w:sz="0" w:space="0" w:color="auto"/>
      </w:pBdr>
    </w:pPr>
  </w:p>
  <w:p w:rsidR="002165C1" w:rsidRDefault="00232AE8">
    <w:pPr>
      <w:pStyle w:val="a5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9264" behindDoc="0" locked="1" layoutInCell="1" allowOverlap="1">
          <wp:simplePos x="0" y="0"/>
          <wp:positionH relativeFrom="column">
            <wp:posOffset>-278130</wp:posOffset>
          </wp:positionH>
          <wp:positionV relativeFrom="page">
            <wp:posOffset>135890</wp:posOffset>
          </wp:positionV>
          <wp:extent cx="1877695" cy="874395"/>
          <wp:effectExtent l="0" t="0" r="0" b="0"/>
          <wp:wrapNone/>
          <wp:docPr id="114" name="图片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图片 0" descr="logo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7695" cy="874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22F44"/>
    <w:multiLevelType w:val="multilevel"/>
    <w:tmpl w:val="44B22F44"/>
    <w:lvl w:ilvl="0">
      <w:start w:val="1"/>
      <w:numFmt w:val="bullet"/>
      <w:lvlText w:val=""/>
      <w:lvlJc w:val="left"/>
      <w:pPr>
        <w:ind w:left="-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41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83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5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167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09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51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293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356" w:hanging="420"/>
      </w:pPr>
      <w:rPr>
        <w:rFonts w:ascii="Wingdings" w:hAnsi="Wingdings" w:hint="default"/>
      </w:rPr>
    </w:lvl>
  </w:abstractNum>
  <w:abstractNum w:abstractNumId="1">
    <w:nsid w:val="72742BF2"/>
    <w:multiLevelType w:val="multilevel"/>
    <w:tmpl w:val="72742BF2"/>
    <w:lvl w:ilvl="0">
      <w:start w:val="1"/>
      <w:numFmt w:val="bullet"/>
      <w:lvlText w:val=""/>
      <w:lvlJc w:val="left"/>
      <w:pPr>
        <w:ind w:left="-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41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83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5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167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09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51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293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35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0B58"/>
    <w:rsid w:val="000036C7"/>
    <w:rsid w:val="0003588C"/>
    <w:rsid w:val="00043155"/>
    <w:rsid w:val="00053302"/>
    <w:rsid w:val="00092ECD"/>
    <w:rsid w:val="000A0043"/>
    <w:rsid w:val="000B1436"/>
    <w:rsid w:val="000C63A5"/>
    <w:rsid w:val="000D0223"/>
    <w:rsid w:val="000E2191"/>
    <w:rsid w:val="00120A9F"/>
    <w:rsid w:val="00144D19"/>
    <w:rsid w:val="00154D54"/>
    <w:rsid w:val="001A1EEB"/>
    <w:rsid w:val="001C0973"/>
    <w:rsid w:val="001D047A"/>
    <w:rsid w:val="001D1C1F"/>
    <w:rsid w:val="00205246"/>
    <w:rsid w:val="00207006"/>
    <w:rsid w:val="002165C1"/>
    <w:rsid w:val="002200F7"/>
    <w:rsid w:val="00232AE8"/>
    <w:rsid w:val="00266C0E"/>
    <w:rsid w:val="00291D04"/>
    <w:rsid w:val="002B75E2"/>
    <w:rsid w:val="002D7C67"/>
    <w:rsid w:val="002E65B8"/>
    <w:rsid w:val="002F1F79"/>
    <w:rsid w:val="00350967"/>
    <w:rsid w:val="003836EB"/>
    <w:rsid w:val="003A055A"/>
    <w:rsid w:val="003B75E4"/>
    <w:rsid w:val="003D3DFB"/>
    <w:rsid w:val="003E15E5"/>
    <w:rsid w:val="004271A8"/>
    <w:rsid w:val="0043360F"/>
    <w:rsid w:val="00441A02"/>
    <w:rsid w:val="00454B09"/>
    <w:rsid w:val="00464396"/>
    <w:rsid w:val="00474B44"/>
    <w:rsid w:val="004A1423"/>
    <w:rsid w:val="004B601F"/>
    <w:rsid w:val="004C3C4F"/>
    <w:rsid w:val="004E2D69"/>
    <w:rsid w:val="004F2702"/>
    <w:rsid w:val="004F4F21"/>
    <w:rsid w:val="0053091A"/>
    <w:rsid w:val="005368C0"/>
    <w:rsid w:val="00542455"/>
    <w:rsid w:val="00581EE9"/>
    <w:rsid w:val="00597DB6"/>
    <w:rsid w:val="005A39A7"/>
    <w:rsid w:val="005A7616"/>
    <w:rsid w:val="005B415C"/>
    <w:rsid w:val="005D0CB5"/>
    <w:rsid w:val="005F6E7A"/>
    <w:rsid w:val="00600B58"/>
    <w:rsid w:val="006523AB"/>
    <w:rsid w:val="00654244"/>
    <w:rsid w:val="00672916"/>
    <w:rsid w:val="00696200"/>
    <w:rsid w:val="006A3C67"/>
    <w:rsid w:val="006C1AC6"/>
    <w:rsid w:val="00705DA1"/>
    <w:rsid w:val="007079C3"/>
    <w:rsid w:val="007273B2"/>
    <w:rsid w:val="0076020A"/>
    <w:rsid w:val="00763383"/>
    <w:rsid w:val="00794B29"/>
    <w:rsid w:val="007F76D9"/>
    <w:rsid w:val="0081528B"/>
    <w:rsid w:val="00825646"/>
    <w:rsid w:val="00835F33"/>
    <w:rsid w:val="00861448"/>
    <w:rsid w:val="00871CA7"/>
    <w:rsid w:val="008836CE"/>
    <w:rsid w:val="008A0046"/>
    <w:rsid w:val="008A49ED"/>
    <w:rsid w:val="008C5B03"/>
    <w:rsid w:val="008F1E23"/>
    <w:rsid w:val="009008FF"/>
    <w:rsid w:val="009B41C2"/>
    <w:rsid w:val="009B4876"/>
    <w:rsid w:val="009C4A19"/>
    <w:rsid w:val="00A073EB"/>
    <w:rsid w:val="00A672A3"/>
    <w:rsid w:val="00A72E39"/>
    <w:rsid w:val="00A81B52"/>
    <w:rsid w:val="00AA4F8A"/>
    <w:rsid w:val="00AC221B"/>
    <w:rsid w:val="00AD5D84"/>
    <w:rsid w:val="00B34DA9"/>
    <w:rsid w:val="00B51A61"/>
    <w:rsid w:val="00B53164"/>
    <w:rsid w:val="00B6322C"/>
    <w:rsid w:val="00B65C5C"/>
    <w:rsid w:val="00B828FA"/>
    <w:rsid w:val="00BA21E9"/>
    <w:rsid w:val="00BD54CC"/>
    <w:rsid w:val="00BF63B4"/>
    <w:rsid w:val="00C00004"/>
    <w:rsid w:val="00C16E6B"/>
    <w:rsid w:val="00C322A6"/>
    <w:rsid w:val="00C532C7"/>
    <w:rsid w:val="00C66049"/>
    <w:rsid w:val="00C82134"/>
    <w:rsid w:val="00CB275D"/>
    <w:rsid w:val="00CD6F48"/>
    <w:rsid w:val="00CE08FB"/>
    <w:rsid w:val="00D019C9"/>
    <w:rsid w:val="00D274D3"/>
    <w:rsid w:val="00D30137"/>
    <w:rsid w:val="00D35E27"/>
    <w:rsid w:val="00D43680"/>
    <w:rsid w:val="00D758D0"/>
    <w:rsid w:val="00D9466C"/>
    <w:rsid w:val="00D97C06"/>
    <w:rsid w:val="00DE3135"/>
    <w:rsid w:val="00DF278F"/>
    <w:rsid w:val="00DF629E"/>
    <w:rsid w:val="00E24F36"/>
    <w:rsid w:val="00E4584F"/>
    <w:rsid w:val="00E8590C"/>
    <w:rsid w:val="00ED23E8"/>
    <w:rsid w:val="00ED6B71"/>
    <w:rsid w:val="00EE2BF5"/>
    <w:rsid w:val="00F0746E"/>
    <w:rsid w:val="00F07A11"/>
    <w:rsid w:val="00F26256"/>
    <w:rsid w:val="00F274AB"/>
    <w:rsid w:val="00F40379"/>
    <w:rsid w:val="00F44314"/>
    <w:rsid w:val="00F72DA0"/>
    <w:rsid w:val="00F77FC9"/>
    <w:rsid w:val="00F97C80"/>
    <w:rsid w:val="00FB3E37"/>
    <w:rsid w:val="00FB7155"/>
    <w:rsid w:val="00FE3C9D"/>
    <w:rsid w:val="00FF23BB"/>
    <w:rsid w:val="00FF342D"/>
    <w:rsid w:val="54E44FBD"/>
    <w:rsid w:val="75FF0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  <o:rules v:ext="edit">
        <o:r id="V:Rule10" type="connector" idref="#_x0000_s1060"/>
        <o:r id="V:Rule11" type="connector" idref="#_x0000_s1026"/>
        <o:r id="V:Rule12" type="connector" idref="#_x0000_s1046"/>
        <o:r id="V:Rule13" type="connector" idref="#_x0000_s1054"/>
        <o:r id="V:Rule14" type="connector" idref="#_x0000_s1043"/>
        <o:r id="V:Rule15" type="connector" idref="#_x0000_s1056"/>
        <o:r id="V:Rule16" type="connector" idref="#_x0000_s1050"/>
        <o:r id="V:Rule17" type="connector" idref="#_x0000_s1052"/>
        <o:r id="V:Rule18" type="connector" idref="#_x0000_s10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Contemporary" w:semiHidden="0" w:uiPriority="0" w:unhideWhenUsed="0" w:qFormat="1"/>
    <w:lsdException w:name="Balloon Text" w:semiHidden="0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5C1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2165C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165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2165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2165C1"/>
    <w:rPr>
      <w:rFonts w:ascii="Times New Roman" w:eastAsia="宋体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Contemporary"/>
    <w:basedOn w:val="a1"/>
    <w:qFormat/>
    <w:rsid w:val="002165C1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character" w:customStyle="1" w:styleId="Char1">
    <w:name w:val="页眉 Char"/>
    <w:basedOn w:val="a0"/>
    <w:link w:val="a5"/>
    <w:uiPriority w:val="99"/>
    <w:rsid w:val="002165C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165C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165C1"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rsid w:val="002165C1"/>
    <w:pPr>
      <w:ind w:firstLineChars="200" w:firstLine="420"/>
    </w:pPr>
  </w:style>
  <w:style w:type="paragraph" w:customStyle="1" w:styleId="2">
    <w:name w:val="新小标题2"/>
    <w:basedOn w:val="a"/>
    <w:qFormat/>
    <w:rsid w:val="002165C1"/>
    <w:pPr>
      <w:ind w:firstLine="1008"/>
    </w:pPr>
    <w:rPr>
      <w:rFonts w:ascii="隶书" w:eastAsia="隶书"/>
      <w:sz w:val="32"/>
      <w:szCs w:val="20"/>
    </w:rPr>
  </w:style>
  <w:style w:type="character" w:customStyle="1" w:styleId="135brush">
    <w:name w:val="135brush"/>
    <w:basedOn w:val="a0"/>
    <w:qFormat/>
    <w:rsid w:val="002165C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3"/>
    <customShpInfo spid="_x0000_s1045"/>
    <customShpInfo spid="_x0000_s1026"/>
    <customShpInfo spid="_x0000_s1047"/>
    <customShpInfo spid="_x0000_s1046"/>
    <customShpInfo spid="_x0000_s1027"/>
    <customShpInfo spid="_x0000_s1028"/>
    <customShpInfo spid="_x0000_s1029"/>
    <customShpInfo spid="_x0000_s1049"/>
    <customShpInfo spid="_x0000_s1048"/>
    <customShpInfo spid="_x0000_s1051"/>
    <customShpInfo spid="_x0000_s1050"/>
    <customShpInfo spid="_x0000_s1053"/>
    <customShpInfo spid="_x0000_s1052"/>
    <customShpInfo spid="_x0000_s1062"/>
    <customShpInfo spid="_x0000_s1055"/>
    <customShpInfo spid="_x0000_s1054"/>
    <customShpInfo spid="_x0000_s1057"/>
    <customShpInfo spid="_x0000_s1056"/>
    <customShpInfo spid="_x0000_s1061"/>
    <customShpInfo spid="_x0000_s1060"/>
    <customShpInfo spid="_x0000_s1063"/>
    <customShpInfo spid="_x0000_s1064"/>
    <customShpInfo spid="_x0000_s1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11C217-4E5E-4D2C-998D-649381A91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865</Words>
  <Characters>4933</Characters>
  <Application>Microsoft Office Word</Application>
  <DocSecurity>0</DocSecurity>
  <Lines>41</Lines>
  <Paragraphs>11</Paragraphs>
  <ScaleCrop>false</ScaleCrop>
  <Company/>
  <LinksUpToDate>false</LinksUpToDate>
  <CharactersWithSpaces>5787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jiangxt</dc:creator>
  <cp:lastModifiedBy>Administrator</cp:lastModifiedBy>
  <cp:revision>56</cp:revision>
  <dcterms:created xsi:type="dcterms:W3CDTF">2016-06-22T02:30:00Z</dcterms:created>
  <dcterms:modified xsi:type="dcterms:W3CDTF">2017-05-24T05:14:00Z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